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D6D7" w14:textId="77777777" w:rsidR="00D56A64" w:rsidRDefault="00D56A64" w:rsidP="00D56A64">
      <w:pPr>
        <w:jc w:val="both"/>
      </w:pPr>
    </w:p>
    <w:p w14:paraId="378EAA1B" w14:textId="77777777" w:rsidR="00D56A64" w:rsidRDefault="00D56A64" w:rsidP="00D56A64">
      <w:pPr>
        <w:jc w:val="both"/>
      </w:pPr>
    </w:p>
    <w:p w14:paraId="7720A9E4" w14:textId="77777777" w:rsidR="00D56A64" w:rsidRDefault="00D56A64" w:rsidP="00D56A64">
      <w:pPr>
        <w:jc w:val="both"/>
      </w:pPr>
    </w:p>
    <w:p w14:paraId="3B229919" w14:textId="77777777" w:rsidR="00D56A64" w:rsidRDefault="00D56A64" w:rsidP="00D56A64">
      <w:pPr>
        <w:jc w:val="both"/>
      </w:pPr>
    </w:p>
    <w:p w14:paraId="395824EE" w14:textId="77777777" w:rsidR="00D56A64" w:rsidRDefault="00D56A64" w:rsidP="00D56A64">
      <w:pPr>
        <w:jc w:val="both"/>
      </w:pPr>
    </w:p>
    <w:p w14:paraId="058D97EE" w14:textId="77777777" w:rsidR="00D56A64" w:rsidRDefault="00D56A64" w:rsidP="00D56A64">
      <w:pPr>
        <w:jc w:val="center"/>
      </w:pPr>
    </w:p>
    <w:p w14:paraId="240A344B" w14:textId="77777777" w:rsidR="00D56A64" w:rsidRDefault="00D56A64" w:rsidP="00D56A64">
      <w:pPr>
        <w:jc w:val="center"/>
        <w:rPr>
          <w:rFonts w:ascii="Franklin Gothic Book" w:hAnsi="Franklin Gothic Book"/>
          <w:sz w:val="36"/>
          <w:szCs w:val="36"/>
        </w:rPr>
      </w:pPr>
      <w:r w:rsidRPr="00DC36B9">
        <w:rPr>
          <w:rStyle w:val="Tytuksiki"/>
          <w:rFonts w:ascii="Franklin Gothic Book" w:hAnsi="Franklin Gothic Book"/>
          <w:color w:val="002142"/>
          <w:sz w:val="80"/>
          <w:szCs w:val="80"/>
        </w:rPr>
        <w:t>KOELNER RAWLPLUG IP SP. Z O.O.</w:t>
      </w:r>
    </w:p>
    <w:p w14:paraId="3684E8E1" w14:textId="77777777" w:rsidR="00D56A64" w:rsidRDefault="00D56A64" w:rsidP="00D56A64">
      <w:pPr>
        <w:jc w:val="both"/>
        <w:rPr>
          <w:rFonts w:ascii="Franklin Gothic Book" w:hAnsi="Franklin Gothic Book"/>
          <w:sz w:val="36"/>
          <w:szCs w:val="36"/>
        </w:rPr>
      </w:pPr>
    </w:p>
    <w:p w14:paraId="23E6CC18" w14:textId="77777777" w:rsidR="00D56A64" w:rsidRDefault="00D56A64" w:rsidP="00D56A64">
      <w:pPr>
        <w:jc w:val="both"/>
        <w:rPr>
          <w:rFonts w:ascii="Franklin Gothic Book" w:hAnsi="Franklin Gothic Book"/>
          <w:sz w:val="36"/>
          <w:szCs w:val="36"/>
        </w:rPr>
      </w:pPr>
    </w:p>
    <w:p w14:paraId="68306BB7" w14:textId="22ED5CA4" w:rsidR="00D56A64" w:rsidRPr="00955CD5" w:rsidRDefault="00D56A64" w:rsidP="00D56A64">
      <w:pPr>
        <w:jc w:val="center"/>
        <w:rPr>
          <w:rFonts w:ascii="Franklin Gothic Book" w:hAnsi="Franklin Gothic Book"/>
          <w:color w:val="002142"/>
          <w:sz w:val="36"/>
          <w:szCs w:val="36"/>
        </w:rPr>
      </w:pPr>
      <w:r w:rsidRPr="00955CD5">
        <w:rPr>
          <w:rFonts w:ascii="Franklin Gothic Book" w:hAnsi="Franklin Gothic Book"/>
          <w:color w:val="002142"/>
          <w:sz w:val="36"/>
          <w:szCs w:val="36"/>
        </w:rPr>
        <w:t xml:space="preserve">INFORMACJA O REALIZOWANEJ STRATEGII PODATKOWEJ ZA ROK PODATKOWY </w:t>
      </w:r>
      <w:r w:rsidR="001D4E85" w:rsidRPr="00955CD5">
        <w:rPr>
          <w:rFonts w:ascii="Franklin Gothic Book" w:hAnsi="Franklin Gothic Book"/>
          <w:color w:val="002142"/>
          <w:sz w:val="36"/>
          <w:szCs w:val="36"/>
        </w:rPr>
        <w:t>202</w:t>
      </w:r>
      <w:r w:rsidR="00C5645E">
        <w:rPr>
          <w:rFonts w:ascii="Franklin Gothic Book" w:hAnsi="Franklin Gothic Book"/>
          <w:color w:val="002142"/>
          <w:sz w:val="36"/>
          <w:szCs w:val="36"/>
        </w:rPr>
        <w:t>3</w:t>
      </w:r>
    </w:p>
    <w:p w14:paraId="24A131C2" w14:textId="77777777" w:rsidR="00D56A64" w:rsidRDefault="00D56A64" w:rsidP="00D56A6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56FEB6FE" w14:textId="0CC0C947" w:rsidR="00D56A64" w:rsidRDefault="00D56A64" w:rsidP="00D56A64">
      <w:pPr>
        <w:spacing w:before="120" w:after="120"/>
        <w:jc w:val="both"/>
        <w:rPr>
          <w:rFonts w:ascii="Franklin Gothic Book" w:hAnsi="Franklin Gothic Book"/>
          <w:b/>
          <w:bCs/>
        </w:rPr>
      </w:pPr>
      <w:r w:rsidRPr="00955CD5">
        <w:rPr>
          <w:rFonts w:ascii="Franklin Gothic Book" w:hAnsi="Franklin Gothic Book"/>
          <w:b/>
          <w:bCs/>
        </w:rPr>
        <w:lastRenderedPageBreak/>
        <w:t xml:space="preserve">Informacja o realizowanej strategii podatkowej stanowi realizację nałożonego na </w:t>
      </w:r>
      <w:r w:rsidRPr="004A5158">
        <w:rPr>
          <w:rFonts w:ascii="Franklin Gothic Book" w:hAnsi="Franklin Gothic Book"/>
          <w:b/>
          <w:bCs/>
        </w:rPr>
        <w:t xml:space="preserve">Koelner </w:t>
      </w:r>
      <w:proofErr w:type="spellStart"/>
      <w:r w:rsidRPr="004A5158">
        <w:rPr>
          <w:rFonts w:ascii="Franklin Gothic Book" w:hAnsi="Franklin Gothic Book"/>
          <w:b/>
          <w:bCs/>
        </w:rPr>
        <w:t>Rawlplug</w:t>
      </w:r>
      <w:proofErr w:type="spellEnd"/>
      <w:r w:rsidRPr="004A5158">
        <w:rPr>
          <w:rFonts w:ascii="Franklin Gothic Book" w:hAnsi="Franklin Gothic Book"/>
          <w:b/>
          <w:bCs/>
        </w:rPr>
        <w:t xml:space="preserve"> IP Sp. z o.o. </w:t>
      </w:r>
      <w:r w:rsidRPr="00955CD5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>(dalej: Spółka)</w:t>
      </w:r>
      <w:r w:rsidRPr="00955CD5">
        <w:rPr>
          <w:rFonts w:ascii="Franklin Gothic Book" w:hAnsi="Franklin Gothic Book"/>
          <w:b/>
          <w:bCs/>
        </w:rPr>
        <w:t xml:space="preserve"> obowiązku wynikającego z art. 27c ustawy z dnia 15 lutego 1992 r. </w:t>
      </w:r>
      <w:r w:rsidR="001D4E85">
        <w:rPr>
          <w:rFonts w:ascii="Franklin Gothic Book" w:hAnsi="Franklin Gothic Book"/>
          <w:b/>
          <w:bCs/>
        </w:rPr>
        <w:br/>
      </w:r>
      <w:r w:rsidRPr="00955CD5">
        <w:rPr>
          <w:rFonts w:ascii="Franklin Gothic Book" w:hAnsi="Franklin Gothic Book"/>
          <w:b/>
          <w:bCs/>
        </w:rPr>
        <w:t>o podatku dochodowym od osób prawnych (</w:t>
      </w:r>
      <w:r>
        <w:rPr>
          <w:rFonts w:ascii="Franklin Gothic Book" w:hAnsi="Franklin Gothic Book"/>
          <w:b/>
          <w:bCs/>
        </w:rPr>
        <w:t xml:space="preserve">dalej: „ustawa CIT”, </w:t>
      </w:r>
      <w:r w:rsidRPr="00955CD5">
        <w:rPr>
          <w:rFonts w:ascii="Franklin Gothic Book" w:hAnsi="Franklin Gothic Book"/>
          <w:b/>
          <w:bCs/>
        </w:rPr>
        <w:t>tekst jedn. Dz.U.</w:t>
      </w:r>
      <w:r w:rsidR="002E53C0" w:rsidRPr="00955CD5">
        <w:rPr>
          <w:rFonts w:ascii="Franklin Gothic Book" w:hAnsi="Franklin Gothic Book"/>
          <w:b/>
          <w:bCs/>
        </w:rPr>
        <w:t>202</w:t>
      </w:r>
      <w:r w:rsidR="002E53C0">
        <w:rPr>
          <w:rFonts w:ascii="Franklin Gothic Book" w:hAnsi="Franklin Gothic Book"/>
          <w:b/>
          <w:bCs/>
        </w:rPr>
        <w:t>2</w:t>
      </w:r>
      <w:r w:rsidR="002E53C0" w:rsidRPr="00955CD5">
        <w:rPr>
          <w:rFonts w:ascii="Franklin Gothic Book" w:hAnsi="Franklin Gothic Book"/>
          <w:b/>
          <w:bCs/>
        </w:rPr>
        <w:t xml:space="preserve"> </w:t>
      </w:r>
      <w:r w:rsidRPr="00955CD5">
        <w:rPr>
          <w:rFonts w:ascii="Franklin Gothic Book" w:hAnsi="Franklin Gothic Book"/>
          <w:b/>
          <w:bCs/>
        </w:rPr>
        <w:t xml:space="preserve">poz. </w:t>
      </w:r>
      <w:r w:rsidR="002E53C0">
        <w:rPr>
          <w:rFonts w:ascii="Franklin Gothic Book" w:hAnsi="Franklin Gothic Book"/>
          <w:b/>
          <w:bCs/>
        </w:rPr>
        <w:t>2587</w:t>
      </w:r>
      <w:r w:rsidRPr="00955CD5">
        <w:rPr>
          <w:rFonts w:ascii="Franklin Gothic Book" w:hAnsi="Franklin Gothic Book"/>
          <w:b/>
          <w:bCs/>
        </w:rPr>
        <w:t xml:space="preserve"> ze zm.).</w:t>
      </w:r>
    </w:p>
    <w:p w14:paraId="04BF0E1C" w14:textId="42AEF23F" w:rsidR="00D56A64" w:rsidRPr="0037725D" w:rsidRDefault="00D56A64" w:rsidP="00D56A64">
      <w:pPr>
        <w:spacing w:before="120" w:after="120"/>
        <w:jc w:val="both"/>
        <w:rPr>
          <w:rFonts w:ascii="Franklin Gothic Book" w:hAnsi="Franklin Gothic Book"/>
          <w:b/>
          <w:bCs/>
        </w:rPr>
      </w:pPr>
      <w:r w:rsidRPr="004A5158">
        <w:rPr>
          <w:rFonts w:ascii="Franklin Gothic Book" w:hAnsi="Franklin Gothic Book"/>
          <w:b/>
          <w:bCs/>
        </w:rPr>
        <w:t xml:space="preserve">Koelner </w:t>
      </w:r>
      <w:proofErr w:type="spellStart"/>
      <w:r w:rsidRPr="004A5158">
        <w:rPr>
          <w:rFonts w:ascii="Franklin Gothic Book" w:hAnsi="Franklin Gothic Book"/>
          <w:b/>
          <w:bCs/>
        </w:rPr>
        <w:t>Rawlplug</w:t>
      </w:r>
      <w:proofErr w:type="spellEnd"/>
      <w:r w:rsidRPr="004A5158">
        <w:rPr>
          <w:rFonts w:ascii="Franklin Gothic Book" w:hAnsi="Franklin Gothic Book"/>
          <w:b/>
          <w:bCs/>
        </w:rPr>
        <w:t xml:space="preserve"> IP Sp. z o.o.</w:t>
      </w:r>
      <w:r>
        <w:rPr>
          <w:rFonts w:ascii="Franklin Gothic Book" w:hAnsi="Franklin Gothic Book"/>
          <w:b/>
          <w:bCs/>
        </w:rPr>
        <w:t xml:space="preserve"> jako podatnik podatku dochodowego od osób prawnych o obrotach przekraczających 50 mln EUR osiągniętych w roku podatkowym zakończonym w dniu 31 grudnia </w:t>
      </w:r>
      <w:r w:rsidR="001D4E85">
        <w:rPr>
          <w:rFonts w:ascii="Franklin Gothic Book" w:hAnsi="Franklin Gothic Book"/>
          <w:b/>
          <w:bCs/>
        </w:rPr>
        <w:t>202</w:t>
      </w:r>
      <w:r w:rsidR="00C5645E">
        <w:rPr>
          <w:rFonts w:ascii="Franklin Gothic Book" w:hAnsi="Franklin Gothic Book"/>
          <w:b/>
          <w:bCs/>
        </w:rPr>
        <w:t>3</w:t>
      </w:r>
      <w:r w:rsidR="001D4E85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 xml:space="preserve">r. zobowiązana jest do sporządzenia i opublikowania informacji o realizowanej strategii podatkowej za </w:t>
      </w:r>
      <w:r w:rsidR="001D4E85">
        <w:rPr>
          <w:rFonts w:ascii="Franklin Gothic Book" w:hAnsi="Franklin Gothic Book"/>
          <w:b/>
          <w:bCs/>
        </w:rPr>
        <w:t>202</w:t>
      </w:r>
      <w:r w:rsidR="00C5645E">
        <w:rPr>
          <w:rFonts w:ascii="Franklin Gothic Book" w:hAnsi="Franklin Gothic Book"/>
          <w:b/>
          <w:bCs/>
        </w:rPr>
        <w:t>3</w:t>
      </w:r>
      <w:r w:rsidR="001D4E85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>r., zawierającej informacje określone w art. 27c ust. 2 ustawy CIT.</w:t>
      </w:r>
    </w:p>
    <w:p w14:paraId="308D07DD" w14:textId="7321CE9D" w:rsidR="00D56A64" w:rsidRPr="00C5645E" w:rsidRDefault="00D56A64" w:rsidP="00D56A64">
      <w:pPr>
        <w:jc w:val="both"/>
        <w:rPr>
          <w:rFonts w:ascii="Franklin Gothic Book" w:hAnsi="Franklin Gothic Book"/>
          <w:b/>
          <w:bCs/>
        </w:rPr>
      </w:pPr>
      <w:r w:rsidRPr="00C5645E">
        <w:rPr>
          <w:rFonts w:ascii="Franklin Gothic Book" w:hAnsi="Franklin Gothic Book"/>
          <w:b/>
          <w:bCs/>
        </w:rPr>
        <w:t xml:space="preserve">Ponieważ Koelner </w:t>
      </w:r>
      <w:proofErr w:type="spellStart"/>
      <w:r w:rsidRPr="00C5645E">
        <w:rPr>
          <w:rFonts w:ascii="Franklin Gothic Book" w:hAnsi="Franklin Gothic Book"/>
          <w:b/>
          <w:bCs/>
        </w:rPr>
        <w:t>Rawlplug</w:t>
      </w:r>
      <w:proofErr w:type="spellEnd"/>
      <w:r w:rsidRPr="00C5645E">
        <w:rPr>
          <w:rFonts w:ascii="Franklin Gothic Book" w:hAnsi="Franklin Gothic Book"/>
          <w:b/>
          <w:bCs/>
        </w:rPr>
        <w:t xml:space="preserve"> IP Sp. z o.o. nie posiada strony internetowej, niniejsza informacja opublikowana została na stronie internetowej podmiotu powiązanego, pod adresem </w:t>
      </w:r>
      <w:r w:rsidR="00A64E82" w:rsidRPr="00C5645E">
        <w:rPr>
          <w:rFonts w:ascii="Franklin Gothic Book" w:hAnsi="Franklin Gothic Book"/>
          <w:b/>
          <w:bCs/>
        </w:rPr>
        <w:t>https://company.rawlplug.com/investor-relation/dokumenty-do-pobrania/</w:t>
      </w:r>
    </w:p>
    <w:p w14:paraId="546DFC89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6B50B402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06DFC237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6440CF79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14BF3C19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1D06F64E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0EABC23D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43CE2C76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44252CED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717E0F5F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5CC29412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29A4279B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4BE21CD9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2113F444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1AFF1C5F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65AA39D3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1CA48BFD" w14:textId="77777777" w:rsidR="00FB2CDD" w:rsidRDefault="00FB2CDD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2D736BE6" w14:textId="4E79404C" w:rsidR="00D56A64" w:rsidRPr="005967F4" w:rsidRDefault="00D56A64" w:rsidP="00D56A6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5967F4">
        <w:rPr>
          <w:rFonts w:ascii="Franklin Gothic Book" w:hAnsi="Franklin Gothic Book"/>
          <w:b/>
          <w:bCs/>
          <w:sz w:val="24"/>
          <w:szCs w:val="24"/>
          <w:u w:val="single"/>
        </w:rPr>
        <w:lastRenderedPageBreak/>
        <w:t xml:space="preserve">Profil </w:t>
      </w:r>
      <w:r>
        <w:rPr>
          <w:rFonts w:ascii="Franklin Gothic Book" w:hAnsi="Franklin Gothic Book"/>
          <w:b/>
          <w:bCs/>
          <w:sz w:val="24"/>
          <w:szCs w:val="24"/>
          <w:u w:val="single"/>
        </w:rPr>
        <w:t>S</w:t>
      </w:r>
      <w:r w:rsidRPr="005967F4">
        <w:rPr>
          <w:rFonts w:ascii="Franklin Gothic Book" w:hAnsi="Franklin Gothic Book"/>
          <w:b/>
          <w:bCs/>
          <w:sz w:val="24"/>
          <w:szCs w:val="24"/>
          <w:u w:val="single"/>
        </w:rPr>
        <w:t xml:space="preserve">półki </w:t>
      </w:r>
      <w:r w:rsidRPr="00540EE3">
        <w:rPr>
          <w:rFonts w:ascii="Franklin Gothic Book" w:hAnsi="Franklin Gothic Book"/>
          <w:b/>
          <w:bCs/>
          <w:sz w:val="24"/>
          <w:szCs w:val="24"/>
          <w:u w:val="single"/>
        </w:rPr>
        <w:t xml:space="preserve">Koelner </w:t>
      </w:r>
      <w:proofErr w:type="spellStart"/>
      <w:r w:rsidRPr="00540EE3">
        <w:rPr>
          <w:rFonts w:ascii="Franklin Gothic Book" w:hAnsi="Franklin Gothic Book"/>
          <w:b/>
          <w:bCs/>
          <w:sz w:val="24"/>
          <w:szCs w:val="24"/>
          <w:u w:val="single"/>
        </w:rPr>
        <w:t>Rawlplug</w:t>
      </w:r>
      <w:proofErr w:type="spellEnd"/>
      <w:r w:rsidRPr="00540EE3">
        <w:rPr>
          <w:rFonts w:ascii="Franklin Gothic Book" w:hAnsi="Franklin Gothic Book"/>
          <w:b/>
          <w:bCs/>
          <w:sz w:val="24"/>
          <w:szCs w:val="24"/>
          <w:u w:val="single"/>
        </w:rPr>
        <w:t xml:space="preserve"> IP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56A64" w:rsidRPr="00411F35" w14:paraId="38F0E6E5" w14:textId="77777777" w:rsidTr="00B91CAA">
        <w:trPr>
          <w:trHeight w:val="737"/>
        </w:trPr>
        <w:tc>
          <w:tcPr>
            <w:tcW w:w="906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FFF1C63" w14:textId="77777777" w:rsidR="00D56A64" w:rsidRPr="00411F35" w:rsidRDefault="00D56A64" w:rsidP="00B91CAA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lang w:val="pl-PL"/>
              </w:rPr>
            </w:pPr>
            <w:r w:rsidRPr="00DC417F">
              <w:rPr>
                <w:rFonts w:ascii="Franklin Gothic Book" w:hAnsi="Franklin Gothic Book"/>
                <w:b/>
                <w:bCs/>
                <w:lang w:val="pl-PL"/>
              </w:rPr>
              <w:t xml:space="preserve">Koelner </w:t>
            </w:r>
            <w:proofErr w:type="spellStart"/>
            <w:r w:rsidRPr="00DC417F">
              <w:rPr>
                <w:rFonts w:ascii="Franklin Gothic Book" w:hAnsi="Franklin Gothic Book"/>
                <w:b/>
                <w:bCs/>
                <w:lang w:val="pl-PL"/>
              </w:rPr>
              <w:t>Rawlplug</w:t>
            </w:r>
            <w:proofErr w:type="spellEnd"/>
            <w:r w:rsidRPr="00DC417F">
              <w:rPr>
                <w:rFonts w:ascii="Franklin Gothic Book" w:hAnsi="Franklin Gothic Book"/>
                <w:b/>
                <w:bCs/>
                <w:lang w:val="pl-PL"/>
              </w:rPr>
              <w:t xml:space="preserve"> IP Sp. z o.o.</w:t>
            </w:r>
          </w:p>
        </w:tc>
      </w:tr>
      <w:tr w:rsidR="00D56A64" w:rsidRPr="00411F35" w14:paraId="5982D4A2" w14:textId="77777777" w:rsidTr="00B91CAA">
        <w:trPr>
          <w:trHeight w:val="73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D6AC5F" w14:textId="77777777" w:rsidR="00D56A64" w:rsidRPr="009F304D" w:rsidRDefault="00D56A64" w:rsidP="00B91CAA">
            <w:pPr>
              <w:spacing w:line="276" w:lineRule="auto"/>
              <w:rPr>
                <w:rFonts w:ascii="Franklin Gothic Book" w:hAnsi="Franklin Gothic Book"/>
                <w:b/>
                <w:bCs/>
                <w:lang w:val="pl-PL"/>
              </w:rPr>
            </w:pPr>
            <w:r w:rsidRPr="009F304D">
              <w:rPr>
                <w:rFonts w:ascii="Franklin Gothic Book" w:hAnsi="Franklin Gothic Book"/>
                <w:b/>
                <w:bCs/>
                <w:lang w:val="pl-PL"/>
              </w:rPr>
              <w:t xml:space="preserve">Nazwa Spółki </w:t>
            </w:r>
          </w:p>
        </w:tc>
        <w:tc>
          <w:tcPr>
            <w:tcW w:w="6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F6F70" w14:textId="77777777" w:rsidR="00D56A64" w:rsidRPr="00FB24FF" w:rsidRDefault="00D56A64" w:rsidP="00B91CAA">
            <w:pPr>
              <w:spacing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bookmarkStart w:id="0" w:name="_Hlk88675054"/>
            <w:r w:rsidRPr="00DC417F">
              <w:rPr>
                <w:rFonts w:ascii="Franklin Gothic Book" w:hAnsi="Franklin Gothic Book"/>
                <w:lang w:val="pl-PL"/>
              </w:rPr>
              <w:t xml:space="preserve">Koelner </w:t>
            </w:r>
            <w:proofErr w:type="spellStart"/>
            <w:r w:rsidRPr="00DC417F">
              <w:rPr>
                <w:rFonts w:ascii="Franklin Gothic Book" w:hAnsi="Franklin Gothic Book"/>
                <w:lang w:val="pl-PL"/>
              </w:rPr>
              <w:t>Rawlplug</w:t>
            </w:r>
            <w:proofErr w:type="spellEnd"/>
            <w:r w:rsidRPr="00DC417F">
              <w:rPr>
                <w:rFonts w:ascii="Franklin Gothic Book" w:hAnsi="Franklin Gothic Book"/>
                <w:lang w:val="pl-PL"/>
              </w:rPr>
              <w:t xml:space="preserve"> IP Sp. z o.o.</w:t>
            </w:r>
            <w:bookmarkEnd w:id="0"/>
          </w:p>
        </w:tc>
      </w:tr>
      <w:tr w:rsidR="00D56A64" w:rsidRPr="00411F35" w14:paraId="6FF4F638" w14:textId="77777777" w:rsidTr="00B91CAA">
        <w:trPr>
          <w:trHeight w:val="73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4267E" w14:textId="77777777" w:rsidR="00D56A64" w:rsidRPr="009F304D" w:rsidRDefault="00D56A64" w:rsidP="00B91CAA">
            <w:pPr>
              <w:spacing w:line="276" w:lineRule="auto"/>
              <w:rPr>
                <w:rFonts w:ascii="Franklin Gothic Book" w:hAnsi="Franklin Gothic Book"/>
                <w:b/>
                <w:bCs/>
                <w:lang w:val="pl-PL"/>
              </w:rPr>
            </w:pPr>
            <w:r w:rsidRPr="009F304D">
              <w:rPr>
                <w:rFonts w:ascii="Franklin Gothic Book" w:hAnsi="Franklin Gothic Book"/>
                <w:b/>
                <w:bCs/>
                <w:lang w:val="pl-PL"/>
              </w:rPr>
              <w:t>Siedziba Spółki</w:t>
            </w:r>
          </w:p>
        </w:tc>
        <w:tc>
          <w:tcPr>
            <w:tcW w:w="6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E568DF" w14:textId="77777777" w:rsidR="00D56A64" w:rsidRPr="00FB24FF" w:rsidRDefault="00D56A64" w:rsidP="00B91CAA">
            <w:pPr>
              <w:spacing w:line="276" w:lineRule="auto"/>
              <w:jc w:val="both"/>
              <w:rPr>
                <w:rFonts w:ascii="Franklin Gothic Book" w:hAnsi="Franklin Gothic Book"/>
              </w:rPr>
            </w:pPr>
            <w:proofErr w:type="spellStart"/>
            <w:r w:rsidRPr="002750EA">
              <w:rPr>
                <w:rFonts w:ascii="Franklin Gothic Book" w:hAnsi="Franklin Gothic Book"/>
              </w:rPr>
              <w:t>ul</w:t>
            </w:r>
            <w:proofErr w:type="spellEnd"/>
            <w:r w:rsidRPr="002750EA">
              <w:rPr>
                <w:rFonts w:ascii="Franklin Gothic Book" w:hAnsi="Franklin Gothic Book"/>
              </w:rPr>
              <w:t xml:space="preserve">. </w:t>
            </w:r>
            <w:proofErr w:type="spellStart"/>
            <w:r w:rsidRPr="002750EA">
              <w:rPr>
                <w:rFonts w:ascii="Franklin Gothic Book" w:hAnsi="Franklin Gothic Book"/>
              </w:rPr>
              <w:t>Kwidzyńska</w:t>
            </w:r>
            <w:proofErr w:type="spellEnd"/>
            <w:r w:rsidRPr="002750EA">
              <w:rPr>
                <w:rFonts w:ascii="Franklin Gothic Book" w:hAnsi="Franklin Gothic Book"/>
              </w:rPr>
              <w:t xml:space="preserve"> 6, 51-416 </w:t>
            </w:r>
            <w:proofErr w:type="spellStart"/>
            <w:r w:rsidRPr="002750EA">
              <w:rPr>
                <w:rFonts w:ascii="Franklin Gothic Book" w:hAnsi="Franklin Gothic Book"/>
              </w:rPr>
              <w:t>Wrocław</w:t>
            </w:r>
            <w:proofErr w:type="spellEnd"/>
          </w:p>
        </w:tc>
      </w:tr>
      <w:tr w:rsidR="00D56A64" w:rsidRPr="00411F35" w14:paraId="4611713D" w14:textId="77777777" w:rsidTr="00B91CAA">
        <w:trPr>
          <w:trHeight w:val="73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6BFED" w14:textId="77777777" w:rsidR="00D56A64" w:rsidRPr="00313499" w:rsidRDefault="00D56A64" w:rsidP="00B91CAA">
            <w:pPr>
              <w:spacing w:line="276" w:lineRule="auto"/>
              <w:rPr>
                <w:rFonts w:ascii="Franklin Gothic Book" w:hAnsi="Franklin Gothic Book"/>
                <w:b/>
                <w:bCs/>
                <w:lang w:val="pl-PL"/>
              </w:rPr>
            </w:pPr>
            <w:r w:rsidRPr="00313499">
              <w:rPr>
                <w:rFonts w:ascii="Franklin Gothic Book" w:hAnsi="Franklin Gothic Book"/>
                <w:b/>
                <w:bCs/>
                <w:lang w:val="pl-PL"/>
              </w:rPr>
              <w:t>Oddział Spółki</w:t>
            </w:r>
          </w:p>
        </w:tc>
        <w:tc>
          <w:tcPr>
            <w:tcW w:w="6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DAB0E" w14:textId="77777777" w:rsidR="00D56A64" w:rsidRDefault="00D56A64" w:rsidP="00B91CAA">
            <w:pPr>
              <w:spacing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7C2BC9">
              <w:rPr>
                <w:rFonts w:ascii="Franklin Gothic Book" w:hAnsi="Franklin Gothic Book"/>
                <w:lang w:val="pl-PL"/>
              </w:rPr>
              <w:t xml:space="preserve">Koelner </w:t>
            </w:r>
            <w:proofErr w:type="spellStart"/>
            <w:r w:rsidRPr="007C2BC9">
              <w:rPr>
                <w:rFonts w:ascii="Franklin Gothic Book" w:hAnsi="Franklin Gothic Book"/>
                <w:lang w:val="pl-PL"/>
              </w:rPr>
              <w:t>Rawlplug</w:t>
            </w:r>
            <w:proofErr w:type="spellEnd"/>
            <w:r w:rsidRPr="007C2BC9">
              <w:rPr>
                <w:rFonts w:ascii="Franklin Gothic Book" w:hAnsi="Franklin Gothic Book"/>
                <w:lang w:val="pl-PL"/>
              </w:rPr>
              <w:t xml:space="preserve"> IP Sp. z o.o. Oddział w Łańcucie,</w:t>
            </w:r>
          </w:p>
          <w:p w14:paraId="63A82E9F" w14:textId="77777777" w:rsidR="00D56A64" w:rsidRPr="002750EA" w:rsidRDefault="00D56A64" w:rsidP="00B91CAA">
            <w:pPr>
              <w:spacing w:line="276" w:lineRule="auto"/>
              <w:jc w:val="both"/>
              <w:rPr>
                <w:rFonts w:ascii="Franklin Gothic Book" w:hAnsi="Franklin Gothic Book"/>
              </w:rPr>
            </w:pPr>
            <w:r w:rsidRPr="007C2BC9">
              <w:rPr>
                <w:rFonts w:ascii="Franklin Gothic Book" w:hAnsi="Franklin Gothic Book"/>
                <w:lang w:val="pl-PL"/>
              </w:rPr>
              <w:t xml:space="preserve">ul. </w:t>
            </w:r>
            <w:proofErr w:type="spellStart"/>
            <w:r w:rsidRPr="007C2BC9">
              <w:rPr>
                <w:rFonts w:ascii="Franklin Gothic Book" w:hAnsi="Franklin Gothic Book"/>
              </w:rPr>
              <w:t>Podzwierzyniec</w:t>
            </w:r>
            <w:proofErr w:type="spellEnd"/>
            <w:r w:rsidRPr="007C2BC9">
              <w:rPr>
                <w:rFonts w:ascii="Franklin Gothic Book" w:hAnsi="Franklin Gothic Book"/>
              </w:rPr>
              <w:t xml:space="preserve"> 41, 37-100 </w:t>
            </w:r>
            <w:proofErr w:type="spellStart"/>
            <w:r w:rsidRPr="007C2BC9">
              <w:rPr>
                <w:rFonts w:ascii="Franklin Gothic Book" w:hAnsi="Franklin Gothic Book"/>
              </w:rPr>
              <w:t>Łańcut</w:t>
            </w:r>
            <w:proofErr w:type="spellEnd"/>
          </w:p>
        </w:tc>
      </w:tr>
      <w:tr w:rsidR="00D56A64" w:rsidRPr="00411F35" w14:paraId="45F9D39F" w14:textId="77777777" w:rsidTr="00B91CAA">
        <w:trPr>
          <w:trHeight w:val="1463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20515" w14:textId="77777777" w:rsidR="00D56A64" w:rsidRPr="009F304D" w:rsidRDefault="00D56A64" w:rsidP="00B91CAA">
            <w:pPr>
              <w:spacing w:line="276" w:lineRule="auto"/>
              <w:rPr>
                <w:rFonts w:ascii="Franklin Gothic Book" w:hAnsi="Franklin Gothic Book"/>
                <w:b/>
                <w:bCs/>
                <w:lang w:val="pl-PL"/>
              </w:rPr>
            </w:pPr>
            <w:r w:rsidRPr="009F304D">
              <w:rPr>
                <w:rFonts w:ascii="Franklin Gothic Book" w:hAnsi="Franklin Gothic Book"/>
                <w:b/>
                <w:bCs/>
                <w:lang w:val="pl-PL"/>
              </w:rPr>
              <w:t>Rejestracja w Krajowym Rejestrze Sądowym</w:t>
            </w:r>
          </w:p>
        </w:tc>
        <w:tc>
          <w:tcPr>
            <w:tcW w:w="6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F9BAE3" w14:textId="77777777" w:rsidR="00D56A64" w:rsidRPr="002750EA" w:rsidRDefault="00D56A64" w:rsidP="00D56A64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926659">
              <w:rPr>
                <w:rFonts w:ascii="Franklin Gothic Book" w:hAnsi="Franklin Gothic Book"/>
                <w:lang w:val="pl-PL"/>
              </w:rPr>
              <w:t xml:space="preserve">Siedziba Sądu: </w:t>
            </w:r>
            <w:r w:rsidRPr="002750EA">
              <w:rPr>
                <w:rFonts w:ascii="Franklin Gothic Book" w:hAnsi="Franklin Gothic Book"/>
                <w:lang w:val="pl-PL"/>
              </w:rPr>
              <w:t xml:space="preserve">Sąd Rejonowy dla Wrocławia Fabrycznej we Wrocławiu, VI Wydział Gospodarczy Krajowego Rejestru Sądowego </w:t>
            </w:r>
          </w:p>
          <w:p w14:paraId="72838282" w14:textId="77777777" w:rsidR="00D56A64" w:rsidRPr="00926659" w:rsidRDefault="00D56A64" w:rsidP="00D56A64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926659">
              <w:rPr>
                <w:rFonts w:ascii="Franklin Gothic Book" w:hAnsi="Franklin Gothic Book"/>
                <w:lang w:val="pl-PL"/>
              </w:rPr>
              <w:t xml:space="preserve">Data: </w:t>
            </w:r>
            <w:r>
              <w:rPr>
                <w:rFonts w:ascii="Franklin Gothic Book" w:hAnsi="Franklin Gothic Book"/>
                <w:lang w:val="pl-PL"/>
              </w:rPr>
              <w:t>2011-02-15</w:t>
            </w:r>
          </w:p>
          <w:p w14:paraId="3A32B295" w14:textId="77777777" w:rsidR="00D56A64" w:rsidRPr="002750EA" w:rsidRDefault="00D56A64" w:rsidP="00D56A64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926659">
              <w:rPr>
                <w:rFonts w:ascii="Franklin Gothic Book" w:hAnsi="Franklin Gothic Book"/>
                <w:lang w:val="pl-PL"/>
              </w:rPr>
              <w:t xml:space="preserve">Numer rejestru: </w:t>
            </w:r>
            <w:r w:rsidRPr="002750EA">
              <w:rPr>
                <w:rFonts w:ascii="Franklin Gothic Book" w:hAnsi="Franklin Gothic Book"/>
                <w:lang w:val="pl-PL"/>
              </w:rPr>
              <w:t>KRS</w:t>
            </w:r>
            <w:r>
              <w:rPr>
                <w:rFonts w:ascii="Franklin Gothic Book" w:hAnsi="Franklin Gothic Book"/>
                <w:lang w:val="pl-PL"/>
              </w:rPr>
              <w:t xml:space="preserve"> </w:t>
            </w:r>
            <w:r w:rsidRPr="00021DB2">
              <w:rPr>
                <w:rFonts w:ascii="Franklin Gothic Book" w:hAnsi="Franklin Gothic Book"/>
                <w:lang w:val="pl-PL"/>
              </w:rPr>
              <w:t>0000378370</w:t>
            </w:r>
          </w:p>
        </w:tc>
      </w:tr>
      <w:tr w:rsidR="00D56A64" w:rsidRPr="00CA4993" w14:paraId="01C19CC5" w14:textId="77777777" w:rsidTr="00B91CAA">
        <w:trPr>
          <w:trHeight w:val="90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85E45" w14:textId="77777777" w:rsidR="00D56A64" w:rsidRPr="00F61081" w:rsidRDefault="00D56A64" w:rsidP="00B91CAA">
            <w:pPr>
              <w:spacing w:line="276" w:lineRule="auto"/>
              <w:rPr>
                <w:rFonts w:ascii="Franklin Gothic Book" w:hAnsi="Franklin Gothic Book"/>
                <w:b/>
                <w:bCs/>
                <w:lang w:val="pl-PL"/>
              </w:rPr>
            </w:pPr>
            <w:r w:rsidRPr="00F61081">
              <w:rPr>
                <w:rFonts w:ascii="Franklin Gothic Book" w:hAnsi="Franklin Gothic Book"/>
                <w:b/>
                <w:bCs/>
                <w:lang w:val="pl-PL"/>
              </w:rPr>
              <w:t>Dane identyfikacyjne</w:t>
            </w:r>
          </w:p>
        </w:tc>
        <w:tc>
          <w:tcPr>
            <w:tcW w:w="6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29FD8" w14:textId="562DFA7A" w:rsidR="00193FAD" w:rsidRPr="00193FAD" w:rsidRDefault="00193FAD" w:rsidP="00193FAD">
            <w:pPr>
              <w:spacing w:before="24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193FAD">
              <w:rPr>
                <w:rFonts w:ascii="Franklin Gothic Book" w:hAnsi="Franklin Gothic Book"/>
                <w:lang w:val="pl-PL"/>
              </w:rPr>
              <w:t xml:space="preserve">Dane identyfikacyjne </w:t>
            </w:r>
            <w:r w:rsidRPr="00DC417F">
              <w:rPr>
                <w:rFonts w:ascii="Franklin Gothic Book" w:hAnsi="Franklin Gothic Book"/>
                <w:lang w:val="pl-PL"/>
              </w:rPr>
              <w:t xml:space="preserve">Koelner </w:t>
            </w:r>
            <w:proofErr w:type="spellStart"/>
            <w:r w:rsidRPr="00DC417F">
              <w:rPr>
                <w:rFonts w:ascii="Franklin Gothic Book" w:hAnsi="Franklin Gothic Book"/>
                <w:lang w:val="pl-PL"/>
              </w:rPr>
              <w:t>Rawlplug</w:t>
            </w:r>
            <w:proofErr w:type="spellEnd"/>
            <w:r w:rsidRPr="00DC417F">
              <w:rPr>
                <w:rFonts w:ascii="Franklin Gothic Book" w:hAnsi="Franklin Gothic Book"/>
                <w:lang w:val="pl-PL"/>
              </w:rPr>
              <w:t xml:space="preserve"> IP Sp. z o.o.</w:t>
            </w:r>
            <w:r>
              <w:rPr>
                <w:rFonts w:ascii="Franklin Gothic Book" w:hAnsi="Franklin Gothic Book"/>
                <w:lang w:val="pl-PL"/>
              </w:rPr>
              <w:t>:</w:t>
            </w:r>
          </w:p>
          <w:p w14:paraId="398538EF" w14:textId="0D64D095" w:rsidR="00D56A64" w:rsidRDefault="00D56A64" w:rsidP="00193FA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Franklin Gothic Book" w:hAnsi="Franklin Gothic Book"/>
              </w:rPr>
            </w:pPr>
            <w:r w:rsidRPr="00865E62">
              <w:rPr>
                <w:rFonts w:ascii="Franklin Gothic Book" w:hAnsi="Franklin Gothic Book"/>
              </w:rPr>
              <w:t xml:space="preserve">NIP: </w:t>
            </w:r>
            <w:r w:rsidRPr="00937CDA">
              <w:rPr>
                <w:rFonts w:ascii="Franklin Gothic Book" w:hAnsi="Franklin Gothic Book"/>
              </w:rPr>
              <w:t>6772354296</w:t>
            </w:r>
          </w:p>
          <w:p w14:paraId="49B6FD5B" w14:textId="77777777" w:rsidR="00D56A64" w:rsidRDefault="00D56A64" w:rsidP="00D56A64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Franklin Gothic Book" w:hAnsi="Franklin Gothic Book"/>
              </w:rPr>
            </w:pPr>
            <w:r w:rsidRPr="00865E62">
              <w:rPr>
                <w:rFonts w:ascii="Franklin Gothic Book" w:hAnsi="Franklin Gothic Book"/>
              </w:rPr>
              <w:t xml:space="preserve">REGON: </w:t>
            </w:r>
            <w:r w:rsidRPr="00874982">
              <w:rPr>
                <w:rFonts w:ascii="Franklin Gothic Book" w:hAnsi="Franklin Gothic Book"/>
              </w:rPr>
              <w:t>121459590</w:t>
            </w:r>
          </w:p>
          <w:p w14:paraId="23DFD6C4" w14:textId="77777777" w:rsidR="00C656D8" w:rsidRDefault="00C656D8" w:rsidP="00C656D8">
            <w:pPr>
              <w:spacing w:line="276" w:lineRule="auto"/>
              <w:jc w:val="both"/>
              <w:rPr>
                <w:rFonts w:ascii="Franklin Gothic Book" w:hAnsi="Franklin Gothic Book"/>
              </w:rPr>
            </w:pPr>
          </w:p>
          <w:p w14:paraId="77F2DE6A" w14:textId="33705A90" w:rsidR="00C656D8" w:rsidRPr="00193FAD" w:rsidRDefault="00C656D8" w:rsidP="00C656D8">
            <w:pPr>
              <w:spacing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193FAD">
              <w:rPr>
                <w:rFonts w:ascii="Franklin Gothic Book" w:hAnsi="Franklin Gothic Book"/>
                <w:lang w:val="pl-PL"/>
              </w:rPr>
              <w:t xml:space="preserve">Dane identyfikacyjne Koelner </w:t>
            </w:r>
            <w:proofErr w:type="spellStart"/>
            <w:r w:rsidRPr="00193FAD">
              <w:rPr>
                <w:rFonts w:ascii="Franklin Gothic Book" w:hAnsi="Franklin Gothic Book"/>
                <w:lang w:val="pl-PL"/>
              </w:rPr>
              <w:t>Rawlplug</w:t>
            </w:r>
            <w:proofErr w:type="spellEnd"/>
            <w:r w:rsidRPr="00193FAD">
              <w:rPr>
                <w:rFonts w:ascii="Franklin Gothic Book" w:hAnsi="Franklin Gothic Book"/>
                <w:lang w:val="pl-PL"/>
              </w:rPr>
              <w:t xml:space="preserve"> IP Sp. z o.o. Oddział w Łańcucie służące do składania deklaracji ZUS oraz PI</w:t>
            </w:r>
            <w:r w:rsidR="00193FAD" w:rsidRPr="00193FAD">
              <w:rPr>
                <w:rFonts w:ascii="Franklin Gothic Book" w:hAnsi="Franklin Gothic Book"/>
                <w:lang w:val="pl-PL"/>
              </w:rPr>
              <w:t>T</w:t>
            </w:r>
            <w:r w:rsidRPr="00193FAD">
              <w:rPr>
                <w:rFonts w:ascii="Franklin Gothic Book" w:hAnsi="Franklin Gothic Book"/>
                <w:lang w:val="pl-PL"/>
              </w:rPr>
              <w:t xml:space="preserve">-4 w imieniu oddziału </w:t>
            </w:r>
            <w:proofErr w:type="spellStart"/>
            <w:r w:rsidRPr="00193FAD">
              <w:rPr>
                <w:rFonts w:ascii="Franklin Gothic Book" w:hAnsi="Franklin Gothic Book"/>
                <w:lang w:val="pl-PL"/>
              </w:rPr>
              <w:t>Oddziału</w:t>
            </w:r>
            <w:proofErr w:type="spellEnd"/>
            <w:r w:rsidRPr="00193FAD">
              <w:rPr>
                <w:rFonts w:ascii="Franklin Gothic Book" w:hAnsi="Franklin Gothic Book"/>
                <w:lang w:val="pl-PL"/>
              </w:rPr>
              <w:t xml:space="preserve"> Spółki: </w:t>
            </w:r>
          </w:p>
          <w:p w14:paraId="7427B5C3" w14:textId="77777777" w:rsidR="00C656D8" w:rsidRPr="00193FAD" w:rsidRDefault="00C656D8" w:rsidP="00C656D8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193FAD">
              <w:rPr>
                <w:rFonts w:ascii="Franklin Gothic Book" w:hAnsi="Franklin Gothic Book"/>
              </w:rPr>
              <w:t>NIP:</w:t>
            </w:r>
            <w:r w:rsidR="00193FAD" w:rsidRPr="00193FAD">
              <w:rPr>
                <w:rFonts w:ascii="Franklin Gothic Book" w:hAnsi="Franklin Gothic Book"/>
              </w:rPr>
              <w:t xml:space="preserve"> 2020001021</w:t>
            </w:r>
          </w:p>
          <w:p w14:paraId="46E607AF" w14:textId="4F53F089" w:rsidR="00193FAD" w:rsidRPr="00C656D8" w:rsidRDefault="00193FAD" w:rsidP="00C656D8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193FAD">
              <w:rPr>
                <w:rFonts w:ascii="Franklin Gothic Book" w:hAnsi="Franklin Gothic Book"/>
              </w:rPr>
              <w:t>REGON:</w:t>
            </w:r>
            <w:r w:rsidRPr="00193FAD">
              <w:rPr>
                <w:rFonts w:ascii="Franklin Gothic Book" w:hAnsi="Franklin Gothic Book"/>
                <w:lang w:val="pl-PL"/>
              </w:rPr>
              <w:t xml:space="preserve"> </w:t>
            </w:r>
            <w:r w:rsidRPr="00193FAD">
              <w:rPr>
                <w:rFonts w:ascii="Franklin Gothic Book" w:hAnsi="Franklin Gothic Book"/>
              </w:rPr>
              <w:t>121459590-00020</w:t>
            </w:r>
          </w:p>
        </w:tc>
      </w:tr>
      <w:tr w:rsidR="00D56A64" w:rsidRPr="00CA4993" w14:paraId="63875636" w14:textId="77777777" w:rsidTr="00B91CAA">
        <w:trPr>
          <w:trHeight w:val="1242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7DD06" w14:textId="77777777" w:rsidR="00D56A64" w:rsidRPr="00D80190" w:rsidRDefault="00D56A64" w:rsidP="00B91CAA">
            <w:pPr>
              <w:spacing w:line="276" w:lineRule="auto"/>
              <w:rPr>
                <w:rFonts w:ascii="Franklin Gothic Book" w:hAnsi="Franklin Gothic Book"/>
                <w:b/>
                <w:bCs/>
                <w:lang w:val="pl-PL"/>
              </w:rPr>
            </w:pPr>
            <w:r w:rsidRPr="00D80190">
              <w:rPr>
                <w:rFonts w:ascii="Franklin Gothic Book" w:hAnsi="Franklin Gothic Book"/>
                <w:b/>
                <w:bCs/>
                <w:lang w:val="pl-PL"/>
              </w:rPr>
              <w:t>Podstawowy przedmiot działalności Spółki</w:t>
            </w:r>
          </w:p>
        </w:tc>
        <w:tc>
          <w:tcPr>
            <w:tcW w:w="6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71681" w14:textId="77777777" w:rsidR="00D56A64" w:rsidRPr="00A34A79" w:rsidRDefault="00D56A64" w:rsidP="00B91CAA">
            <w:pPr>
              <w:jc w:val="both"/>
              <w:rPr>
                <w:lang w:val="pl-PL"/>
              </w:rPr>
            </w:pPr>
            <w:r w:rsidRPr="00313499">
              <w:rPr>
                <w:rFonts w:ascii="Franklin Gothic Book" w:hAnsi="Franklin Gothic Book"/>
                <w:lang w:val="pl-PL"/>
              </w:rPr>
              <w:t xml:space="preserve">Głównym przedmiotem działalności Spółki jest zarządzanie wartościami niematerialnymi oraz Centrum Usług Wspólnych na rzecz spółek Grupy </w:t>
            </w:r>
            <w:proofErr w:type="spellStart"/>
            <w:r w:rsidRPr="00313499">
              <w:rPr>
                <w:rFonts w:ascii="Franklin Gothic Book" w:hAnsi="Franklin Gothic Book"/>
                <w:lang w:val="pl-PL"/>
              </w:rPr>
              <w:t>Rawlplug</w:t>
            </w:r>
            <w:proofErr w:type="spellEnd"/>
            <w:r w:rsidRPr="00313499">
              <w:rPr>
                <w:rFonts w:ascii="Franklin Gothic Book" w:hAnsi="Franklin Gothic Book"/>
                <w:lang w:val="pl-PL"/>
              </w:rPr>
              <w:t>. Z kolei Oddział Spółki zajmuje się produkcją i sprzedażą elementów złącznych.</w:t>
            </w:r>
          </w:p>
        </w:tc>
      </w:tr>
      <w:tr w:rsidR="00D56A64" w:rsidRPr="00CA4993" w14:paraId="3C85B557" w14:textId="77777777" w:rsidTr="00B91CAA">
        <w:trPr>
          <w:trHeight w:val="73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033F7D" w14:textId="77777777" w:rsidR="00D56A64" w:rsidRPr="00781C77" w:rsidRDefault="00D56A64" w:rsidP="00B91CAA">
            <w:pPr>
              <w:spacing w:line="276" w:lineRule="auto"/>
              <w:rPr>
                <w:rFonts w:ascii="Franklin Gothic Book" w:hAnsi="Franklin Gothic Book"/>
                <w:b/>
                <w:bCs/>
                <w:lang w:val="pl-PL"/>
              </w:rPr>
            </w:pPr>
            <w:r w:rsidRPr="00781C77">
              <w:rPr>
                <w:rFonts w:ascii="Franklin Gothic Book" w:hAnsi="Franklin Gothic Book"/>
                <w:b/>
                <w:bCs/>
                <w:lang w:val="pl-PL"/>
              </w:rPr>
              <w:t>Czas działalności Spółki</w:t>
            </w:r>
          </w:p>
        </w:tc>
        <w:tc>
          <w:tcPr>
            <w:tcW w:w="6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79180" w14:textId="77777777" w:rsidR="00D56A64" w:rsidRPr="00781C77" w:rsidRDefault="00D56A64" w:rsidP="00B91CAA">
            <w:pPr>
              <w:spacing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781C77">
              <w:rPr>
                <w:rFonts w:ascii="Franklin Gothic Book" w:hAnsi="Franklin Gothic Book"/>
                <w:lang w:val="pl-PL"/>
              </w:rPr>
              <w:t xml:space="preserve">Spółka została utworzona na czas </w:t>
            </w:r>
            <w:r>
              <w:rPr>
                <w:rFonts w:ascii="Franklin Gothic Book" w:hAnsi="Franklin Gothic Book"/>
                <w:lang w:val="pl-PL"/>
              </w:rPr>
              <w:t>nieoznaczony</w:t>
            </w:r>
          </w:p>
        </w:tc>
      </w:tr>
    </w:tbl>
    <w:p w14:paraId="708A9C46" w14:textId="77777777" w:rsidR="00D56A64" w:rsidRPr="00CA4993" w:rsidRDefault="00D56A64" w:rsidP="00D56A64">
      <w:pPr>
        <w:spacing w:before="120" w:after="120"/>
        <w:jc w:val="both"/>
        <w:rPr>
          <w:rFonts w:ascii="Franklin Gothic Book" w:hAnsi="Franklin Gothic Book"/>
          <w:b/>
          <w:bCs/>
          <w:sz w:val="24"/>
          <w:szCs w:val="24"/>
          <w:highlight w:val="yellow"/>
          <w:u w:val="single"/>
        </w:rPr>
      </w:pPr>
    </w:p>
    <w:p w14:paraId="109A2930" w14:textId="77777777" w:rsidR="00D56A64" w:rsidRPr="00CA4993" w:rsidRDefault="00D56A64" w:rsidP="00D56A64">
      <w:pPr>
        <w:spacing w:before="120" w:after="240"/>
        <w:jc w:val="both"/>
        <w:rPr>
          <w:rFonts w:ascii="Franklin Gothic Book" w:hAnsi="Franklin Gothic Book"/>
          <w:b/>
          <w:bCs/>
          <w:sz w:val="24"/>
          <w:szCs w:val="24"/>
          <w:highlight w:val="yellow"/>
          <w:u w:val="single"/>
        </w:rPr>
        <w:sectPr w:rsidR="00D56A64" w:rsidRPr="00CA4993" w:rsidSect="00CA1D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701" w:left="1418" w:header="227" w:footer="227" w:gutter="0"/>
          <w:cols w:space="708"/>
          <w:docGrid w:linePitch="360"/>
        </w:sectPr>
      </w:pPr>
    </w:p>
    <w:p w14:paraId="052ABE61" w14:textId="77777777" w:rsidR="00D56A64" w:rsidRPr="00F90CD4" w:rsidRDefault="00D56A64" w:rsidP="00D56A64">
      <w:pPr>
        <w:spacing w:before="120"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F90CD4">
        <w:rPr>
          <w:rFonts w:ascii="Franklin Gothic Book" w:hAnsi="Franklin Gothic Book"/>
          <w:b/>
          <w:bCs/>
          <w:sz w:val="24"/>
          <w:szCs w:val="24"/>
          <w:u w:val="single"/>
        </w:rPr>
        <w:lastRenderedPageBreak/>
        <w:t>Realizacja strategii podatkowej</w:t>
      </w:r>
    </w:p>
    <w:p w14:paraId="53D63B98" w14:textId="77777777" w:rsidR="00D56A64" w:rsidRPr="00F90CD4" w:rsidRDefault="00D56A64" w:rsidP="00D56A64">
      <w:pPr>
        <w:pStyle w:val="Akapitzlist"/>
        <w:numPr>
          <w:ilvl w:val="0"/>
          <w:numId w:val="2"/>
        </w:numPr>
        <w:spacing w:before="240" w:line="276" w:lineRule="auto"/>
        <w:ind w:left="426" w:hanging="426"/>
        <w:contextualSpacing w:val="0"/>
        <w:jc w:val="both"/>
        <w:rPr>
          <w:rFonts w:ascii="Franklin Gothic Book" w:hAnsi="Franklin Gothic Book"/>
          <w:b/>
          <w:bCs/>
        </w:rPr>
      </w:pPr>
      <w:r w:rsidRPr="00F90CD4">
        <w:rPr>
          <w:rFonts w:ascii="Franklin Gothic Book" w:hAnsi="Franklin Gothic Book"/>
          <w:b/>
          <w:bCs/>
        </w:rPr>
        <w:t xml:space="preserve">Informacje o stosowanych przez </w:t>
      </w:r>
      <w:r w:rsidRPr="00F36D86">
        <w:rPr>
          <w:rFonts w:ascii="Franklin Gothic Book" w:hAnsi="Franklin Gothic Book"/>
          <w:b/>
          <w:bCs/>
        </w:rPr>
        <w:t xml:space="preserve">Koelner </w:t>
      </w:r>
      <w:proofErr w:type="spellStart"/>
      <w:r w:rsidRPr="00F36D86">
        <w:rPr>
          <w:rFonts w:ascii="Franklin Gothic Book" w:hAnsi="Franklin Gothic Book"/>
          <w:b/>
          <w:bCs/>
        </w:rPr>
        <w:t>Rawlplug</w:t>
      </w:r>
      <w:proofErr w:type="spellEnd"/>
      <w:r w:rsidRPr="00F36D86">
        <w:rPr>
          <w:rFonts w:ascii="Franklin Gothic Book" w:hAnsi="Franklin Gothic Book"/>
          <w:b/>
          <w:bCs/>
        </w:rPr>
        <w:t xml:space="preserve"> IP Sp. z o.o.</w:t>
      </w:r>
      <w:r>
        <w:rPr>
          <w:rFonts w:ascii="Franklin Gothic Book" w:hAnsi="Franklin Gothic Book"/>
          <w:b/>
          <w:bCs/>
        </w:rPr>
        <w:t xml:space="preserve"> </w:t>
      </w:r>
      <w:r w:rsidRPr="00F90CD4">
        <w:rPr>
          <w:rFonts w:ascii="Franklin Gothic Book" w:hAnsi="Franklin Gothic Book"/>
          <w:b/>
          <w:bCs/>
        </w:rPr>
        <w:t>procesach oraz procedurach dotyczących zarządzania wykonywaniem obowiązków wynikających z przepisów prawa podatkowego i zapewniających ich prawidłowe wykonanie:</w:t>
      </w:r>
    </w:p>
    <w:p w14:paraId="5CB92470" w14:textId="78449D26" w:rsidR="00D56A64" w:rsidRPr="004573C1" w:rsidRDefault="00D56A64" w:rsidP="00D56A64">
      <w:pPr>
        <w:spacing w:before="120" w:after="120"/>
        <w:jc w:val="both"/>
        <w:rPr>
          <w:rFonts w:ascii="Franklin Gothic Book" w:hAnsi="Franklin Gothic Book"/>
        </w:rPr>
      </w:pPr>
      <w:r w:rsidRPr="004573C1">
        <w:rPr>
          <w:rFonts w:ascii="Franklin Gothic Book" w:hAnsi="Franklin Gothic Book"/>
        </w:rPr>
        <w:t xml:space="preserve">Spółka pragnie wskazać, że stosuje procesy i procedury dotyczące zarządzania wykonywaniem obowiązków wynikających z przepisów prawa podatkowego i zapewniających ich prawidłowe wykonanie. Spółka bowiem stawia sobie za cel m.in. prawidłowe opodatkowanie wypracowanego zysku, zgodnie z zasadą sprawiedliwości społecznej. Spółka wdraża zasady odpowiedzialności społecznej biznesu. W Spółce wdrożono procedury </w:t>
      </w:r>
      <w:r w:rsidR="00773156">
        <w:rPr>
          <w:rFonts w:ascii="Franklin Gothic Book" w:hAnsi="Franklin Gothic Book"/>
        </w:rPr>
        <w:br/>
      </w:r>
      <w:r w:rsidRPr="004573C1">
        <w:rPr>
          <w:rFonts w:ascii="Franklin Gothic Book" w:hAnsi="Franklin Gothic Book"/>
        </w:rPr>
        <w:t>w zakresie zarządzania procesem kalkulacji podatków oraz składania wymaganych prawem sprawozdań, informacji i deklaracji podatkowych, tj.:</w:t>
      </w:r>
    </w:p>
    <w:p w14:paraId="45B7BDF2" w14:textId="77777777" w:rsidR="00D56A64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4573C1">
        <w:rPr>
          <w:rFonts w:ascii="Franklin Gothic Book" w:hAnsi="Franklin Gothic Book"/>
        </w:rPr>
        <w:t xml:space="preserve">Procedura wewnętrzna </w:t>
      </w:r>
      <w:r>
        <w:rPr>
          <w:rFonts w:ascii="Franklin Gothic Book" w:hAnsi="Franklin Gothic Book"/>
        </w:rPr>
        <w:t>zapobiegająca</w:t>
      </w:r>
      <w:r w:rsidRPr="004573C1">
        <w:rPr>
          <w:rFonts w:ascii="Franklin Gothic Book" w:hAnsi="Franklin Gothic Book"/>
        </w:rPr>
        <w:t xml:space="preserve"> niewywiązywaniu się z obowiązku przekazywania informacji o schematach podatkowych (Procedura MDR),</w:t>
      </w:r>
    </w:p>
    <w:p w14:paraId="34FEBDEA" w14:textId="77777777" w:rsidR="00D56A64" w:rsidRPr="002A5AE1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2A5AE1">
        <w:rPr>
          <w:rFonts w:ascii="Franklin Gothic Book" w:hAnsi="Franklin Gothic Book"/>
        </w:rPr>
        <w:t xml:space="preserve">Procedura wewnętrzna </w:t>
      </w:r>
      <w:r>
        <w:rPr>
          <w:rFonts w:ascii="Franklin Gothic Book" w:hAnsi="Franklin Gothic Book"/>
        </w:rPr>
        <w:t>zapobiegająca</w:t>
      </w:r>
      <w:r w:rsidRPr="004573C1">
        <w:rPr>
          <w:rFonts w:ascii="Franklin Gothic Book" w:hAnsi="Franklin Gothic Book"/>
        </w:rPr>
        <w:t xml:space="preserve"> </w:t>
      </w:r>
      <w:r w:rsidRPr="002A5AE1">
        <w:rPr>
          <w:rFonts w:ascii="Franklin Gothic Book" w:hAnsi="Franklin Gothic Book"/>
        </w:rPr>
        <w:t xml:space="preserve">niewywiązywaniu się z obowiązków płatnika </w:t>
      </w:r>
      <w:r w:rsidRPr="002A5AE1">
        <w:rPr>
          <w:rFonts w:ascii="Franklin Gothic Book" w:hAnsi="Franklin Gothic Book"/>
        </w:rPr>
        <w:br/>
        <w:t>w zakresie podatku u źródła (Procedura WHT),</w:t>
      </w:r>
    </w:p>
    <w:p w14:paraId="2BC87B0C" w14:textId="77777777" w:rsidR="00D56A64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Franklin Gothic Book" w:hAnsi="Franklin Gothic Book"/>
        </w:rPr>
      </w:pPr>
      <w:r w:rsidRPr="004573C1">
        <w:rPr>
          <w:rFonts w:ascii="Franklin Gothic Book" w:hAnsi="Franklin Gothic Book"/>
        </w:rPr>
        <w:t xml:space="preserve">Procedura wewnętrzna </w:t>
      </w:r>
      <w:r>
        <w:rPr>
          <w:rFonts w:ascii="Franklin Gothic Book" w:hAnsi="Franklin Gothic Book"/>
        </w:rPr>
        <w:t>zapobiegająca</w:t>
      </w:r>
      <w:r w:rsidRPr="004573C1">
        <w:rPr>
          <w:rFonts w:ascii="Franklin Gothic Book" w:hAnsi="Franklin Gothic Book"/>
        </w:rPr>
        <w:t xml:space="preserve"> niewywiązywaniu się z obowiązków podatnika </w:t>
      </w:r>
      <w:r w:rsidRPr="004573C1">
        <w:rPr>
          <w:rFonts w:ascii="Franklin Gothic Book" w:hAnsi="Franklin Gothic Book"/>
        </w:rPr>
        <w:br/>
        <w:t>w zakresie podatku od towarów i usług (Procedura VAT)</w:t>
      </w:r>
      <w:r>
        <w:rPr>
          <w:rFonts w:ascii="Franklin Gothic Book" w:hAnsi="Franklin Gothic Book"/>
        </w:rPr>
        <w:t>,</w:t>
      </w:r>
    </w:p>
    <w:p w14:paraId="45254850" w14:textId="77777777" w:rsidR="00D56A64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6719E6">
        <w:rPr>
          <w:rFonts w:ascii="Franklin Gothic Book" w:hAnsi="Franklin Gothic Book"/>
        </w:rPr>
        <w:t xml:space="preserve">Procedura wewnętrzna </w:t>
      </w:r>
      <w:r>
        <w:rPr>
          <w:rFonts w:ascii="Franklin Gothic Book" w:hAnsi="Franklin Gothic Book"/>
        </w:rPr>
        <w:t>zapobiegająca</w:t>
      </w:r>
      <w:r w:rsidRPr="006719E6">
        <w:rPr>
          <w:rFonts w:ascii="Franklin Gothic Book" w:hAnsi="Franklin Gothic Book"/>
        </w:rPr>
        <w:t xml:space="preserve"> niewywiązywaniu się z obowiązków podatnika w </w:t>
      </w:r>
      <w:r w:rsidRPr="00E103F6">
        <w:rPr>
          <w:rFonts w:ascii="Franklin Gothic Book" w:hAnsi="Franklin Gothic Book"/>
        </w:rPr>
        <w:t>zakresie cen transferowych (Procedura TP)</w:t>
      </w:r>
      <w:r>
        <w:rPr>
          <w:rFonts w:ascii="Franklin Gothic Book" w:hAnsi="Franklin Gothic Book"/>
        </w:rPr>
        <w:t>,</w:t>
      </w:r>
    </w:p>
    <w:p w14:paraId="4253ED72" w14:textId="77777777" w:rsidR="00D56A64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1C2096">
        <w:rPr>
          <w:rFonts w:ascii="Franklin Gothic Book" w:hAnsi="Franklin Gothic Book"/>
        </w:rPr>
        <w:t xml:space="preserve">Procedura o </w:t>
      </w:r>
      <w:r>
        <w:rPr>
          <w:rFonts w:ascii="Franklin Gothic Book" w:hAnsi="Franklin Gothic Book"/>
        </w:rPr>
        <w:t>zapobieganiu</w:t>
      </w:r>
      <w:r w:rsidRPr="001C2096">
        <w:rPr>
          <w:rFonts w:ascii="Franklin Gothic Book" w:hAnsi="Franklin Gothic Book"/>
        </w:rPr>
        <w:t xml:space="preserve"> praniu pieniędzy oraz finansowaniu terroryzmu  (Procedura AML)</w:t>
      </w:r>
      <w:r>
        <w:rPr>
          <w:rFonts w:ascii="Franklin Gothic Book" w:hAnsi="Franklin Gothic Book"/>
        </w:rPr>
        <w:t xml:space="preserve">, </w:t>
      </w:r>
    </w:p>
    <w:p w14:paraId="28C8F3B9" w14:textId="77777777" w:rsidR="00D56A64" w:rsidRPr="00B91CAA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4573C1">
        <w:rPr>
          <w:rFonts w:ascii="Franklin Gothic Book" w:hAnsi="Franklin Gothic Book"/>
        </w:rPr>
        <w:t>Procedura wewnętrzna zarządzania ryzykiem podatkowym – odpowiedzialności karnej skarbowej (Procedura KKS)</w:t>
      </w:r>
      <w:r>
        <w:rPr>
          <w:rFonts w:ascii="Franklin Gothic Book" w:hAnsi="Franklin Gothic Book"/>
        </w:rPr>
        <w:t>.</w:t>
      </w:r>
    </w:p>
    <w:p w14:paraId="403ADAB9" w14:textId="551B0008" w:rsidR="00D56A64" w:rsidRPr="00E103F6" w:rsidRDefault="00D56A64" w:rsidP="00D56A64">
      <w:pPr>
        <w:spacing w:before="120" w:after="24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Spółka sporządziła również wewnętrzny dokument opisujący stosowane zasady strategii podatkowej w Spółce</w:t>
      </w:r>
      <w:r w:rsidR="00960C16" w:rsidRPr="00655142">
        <w:rPr>
          <w:rFonts w:ascii="Franklin Gothic Book" w:hAnsi="Franklin Gothic Book"/>
        </w:rPr>
        <w:t xml:space="preserve">, które obowiązywały także w roku podatkowym </w:t>
      </w:r>
      <w:r w:rsidR="002E53C0" w:rsidRPr="00655142">
        <w:rPr>
          <w:rFonts w:ascii="Franklin Gothic Book" w:hAnsi="Franklin Gothic Book"/>
        </w:rPr>
        <w:t>202</w:t>
      </w:r>
      <w:r w:rsidR="00C5645E">
        <w:rPr>
          <w:rFonts w:ascii="Franklin Gothic Book" w:hAnsi="Franklin Gothic Book"/>
        </w:rPr>
        <w:t>3</w:t>
      </w:r>
      <w:r w:rsidR="002E53C0" w:rsidRPr="00655142">
        <w:rPr>
          <w:rFonts w:ascii="Franklin Gothic Book" w:hAnsi="Franklin Gothic Book"/>
        </w:rPr>
        <w:t xml:space="preserve"> </w:t>
      </w:r>
      <w:r w:rsidR="00960C16" w:rsidRPr="00655142">
        <w:rPr>
          <w:rFonts w:ascii="Franklin Gothic Book" w:hAnsi="Franklin Gothic Book"/>
        </w:rPr>
        <w:t>r.</w:t>
      </w:r>
    </w:p>
    <w:p w14:paraId="2CE5AEDE" w14:textId="77777777" w:rsidR="00D56A64" w:rsidRPr="00E103F6" w:rsidRDefault="00D56A64" w:rsidP="00D56A64">
      <w:pPr>
        <w:pStyle w:val="Akapitzlist"/>
        <w:numPr>
          <w:ilvl w:val="0"/>
          <w:numId w:val="2"/>
        </w:numPr>
        <w:spacing w:before="240" w:line="276" w:lineRule="auto"/>
        <w:ind w:left="426" w:hanging="425"/>
        <w:contextualSpacing w:val="0"/>
        <w:jc w:val="both"/>
        <w:rPr>
          <w:rFonts w:ascii="Franklin Gothic Book" w:hAnsi="Franklin Gothic Book"/>
          <w:b/>
          <w:bCs/>
        </w:rPr>
      </w:pPr>
      <w:r w:rsidRPr="00E103F6">
        <w:rPr>
          <w:rFonts w:ascii="Franklin Gothic Book" w:hAnsi="Franklin Gothic Book"/>
          <w:b/>
          <w:bCs/>
        </w:rPr>
        <w:t xml:space="preserve">Informacje o stosowanych przez </w:t>
      </w:r>
      <w:r w:rsidRPr="00345388">
        <w:rPr>
          <w:rFonts w:ascii="Franklin Gothic Book" w:hAnsi="Franklin Gothic Book"/>
          <w:b/>
          <w:bCs/>
        </w:rPr>
        <w:t xml:space="preserve">Koelner </w:t>
      </w:r>
      <w:proofErr w:type="spellStart"/>
      <w:r w:rsidRPr="00345388">
        <w:rPr>
          <w:rFonts w:ascii="Franklin Gothic Book" w:hAnsi="Franklin Gothic Book"/>
          <w:b/>
          <w:bCs/>
        </w:rPr>
        <w:t>Rawlplug</w:t>
      </w:r>
      <w:proofErr w:type="spellEnd"/>
      <w:r w:rsidRPr="00345388">
        <w:rPr>
          <w:rFonts w:ascii="Franklin Gothic Book" w:hAnsi="Franklin Gothic Book"/>
          <w:b/>
          <w:bCs/>
        </w:rPr>
        <w:t xml:space="preserve"> IP Sp. z o.o.</w:t>
      </w:r>
      <w:r>
        <w:rPr>
          <w:rFonts w:ascii="Franklin Gothic Book" w:hAnsi="Franklin Gothic Book"/>
          <w:b/>
          <w:bCs/>
        </w:rPr>
        <w:t xml:space="preserve"> </w:t>
      </w:r>
      <w:r w:rsidRPr="00E103F6">
        <w:rPr>
          <w:rFonts w:ascii="Franklin Gothic Book" w:hAnsi="Franklin Gothic Book"/>
          <w:b/>
          <w:bCs/>
        </w:rPr>
        <w:t>dobrowolnych formach współpracy z organami Krajowej Administracji Skarbowej:</w:t>
      </w:r>
    </w:p>
    <w:p w14:paraId="02725551" w14:textId="4860F47D" w:rsidR="00D56A64" w:rsidRPr="00E103F6" w:rsidRDefault="00D56A64" w:rsidP="00D56A64">
      <w:pPr>
        <w:spacing w:after="24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 xml:space="preserve">Spółka w roku podatkowym </w:t>
      </w:r>
      <w:r w:rsidR="002E53C0" w:rsidRPr="00E103F6">
        <w:rPr>
          <w:rFonts w:ascii="Franklin Gothic Book" w:hAnsi="Franklin Gothic Book"/>
        </w:rPr>
        <w:t>202</w:t>
      </w:r>
      <w:r w:rsidR="00C5645E">
        <w:rPr>
          <w:rFonts w:ascii="Franklin Gothic Book" w:hAnsi="Franklin Gothic Book"/>
        </w:rPr>
        <w:t>3</w:t>
      </w:r>
      <w:r w:rsidR="002E53C0" w:rsidRPr="00E103F6">
        <w:rPr>
          <w:rFonts w:ascii="Franklin Gothic Book" w:hAnsi="Franklin Gothic Book"/>
        </w:rPr>
        <w:t xml:space="preserve"> </w:t>
      </w:r>
      <w:r w:rsidRPr="00E103F6">
        <w:rPr>
          <w:rFonts w:ascii="Franklin Gothic Book" w:hAnsi="Franklin Gothic Book"/>
        </w:rPr>
        <w:t xml:space="preserve">nie </w:t>
      </w:r>
      <w:r w:rsidRPr="00924EF6">
        <w:rPr>
          <w:rFonts w:ascii="Franklin Gothic Book" w:hAnsi="Franklin Gothic Book"/>
        </w:rPr>
        <w:t>podejmowała formalnych dobrowolnych form współpracy z organami Krajowej Administracji Skarbowej (tj. nie uczestniczyła w Programie Współdziałania oraz nie zawierała uprzednich porozumień cenowych czy też opinii zabezpieczających).</w:t>
      </w:r>
    </w:p>
    <w:p w14:paraId="773FAFA8" w14:textId="77777777" w:rsidR="00D56A64" w:rsidRPr="00E103F6" w:rsidRDefault="00D56A64" w:rsidP="00D56A64">
      <w:pPr>
        <w:pStyle w:val="Akapitzlist"/>
        <w:numPr>
          <w:ilvl w:val="0"/>
          <w:numId w:val="2"/>
        </w:numPr>
        <w:spacing w:before="240" w:line="276" w:lineRule="auto"/>
        <w:ind w:left="426" w:hanging="425"/>
        <w:contextualSpacing w:val="0"/>
        <w:jc w:val="both"/>
        <w:rPr>
          <w:rFonts w:ascii="Franklin Gothic Book" w:hAnsi="Franklin Gothic Book"/>
          <w:b/>
          <w:bCs/>
        </w:rPr>
      </w:pPr>
      <w:r w:rsidRPr="00E103F6">
        <w:rPr>
          <w:rFonts w:ascii="Franklin Gothic Book" w:hAnsi="Franklin Gothic Book"/>
          <w:b/>
          <w:bCs/>
        </w:rPr>
        <w:t xml:space="preserve">Informacje odnośnie realizacji przez </w:t>
      </w:r>
      <w:r w:rsidRPr="00345388">
        <w:rPr>
          <w:rFonts w:ascii="Franklin Gothic Book" w:hAnsi="Franklin Gothic Book"/>
          <w:b/>
          <w:bCs/>
        </w:rPr>
        <w:t xml:space="preserve">Koelner </w:t>
      </w:r>
      <w:proofErr w:type="spellStart"/>
      <w:r w:rsidRPr="00345388">
        <w:rPr>
          <w:rFonts w:ascii="Franklin Gothic Book" w:hAnsi="Franklin Gothic Book"/>
          <w:b/>
          <w:bCs/>
        </w:rPr>
        <w:t>Rawlplug</w:t>
      </w:r>
      <w:proofErr w:type="spellEnd"/>
      <w:r w:rsidRPr="00345388">
        <w:rPr>
          <w:rFonts w:ascii="Franklin Gothic Book" w:hAnsi="Franklin Gothic Book"/>
          <w:b/>
          <w:bCs/>
        </w:rPr>
        <w:t xml:space="preserve"> IP Sp. z o.o</w:t>
      </w:r>
      <w:r w:rsidRPr="00E103F6">
        <w:rPr>
          <w:rFonts w:ascii="Franklin Gothic Book" w:hAnsi="Franklin Gothic Book"/>
          <w:b/>
          <w:bCs/>
        </w:rPr>
        <w:t>. obowiązków podatkowych na terytorium Rzeczypospolitej Polskiej, wraz z informacją o liczbie przekazanych Szefowi Krajowej Administracji Skarbowej informacji o schematach podatkowych, o których mowa w art. 86a § 1 pkt 10 Ordynacji podatkowej, z podziałem na podatki, których dotyczą:</w:t>
      </w:r>
    </w:p>
    <w:p w14:paraId="6142B8D1" w14:textId="77777777" w:rsidR="00D56A64" w:rsidRPr="00E103F6" w:rsidRDefault="00D56A64" w:rsidP="00D56A64">
      <w:pPr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Spółka podejmuje następujące działania w celu realizacji obowiązków podatkowych na terytorium Rzeczypospolitej Polskiej:</w:t>
      </w:r>
    </w:p>
    <w:p w14:paraId="57B91359" w14:textId="77777777" w:rsidR="00D56A64" w:rsidRPr="00E103F6" w:rsidRDefault="00D56A64" w:rsidP="00D56A64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dochowuje należytej staranności w odniesieniu do rozliczeń podatkowych</w:t>
      </w:r>
      <w:r w:rsidRPr="00542D37">
        <w:rPr>
          <w:rFonts w:ascii="Franklin Gothic Book" w:hAnsi="Franklin Gothic Book"/>
        </w:rPr>
        <w:t>, w tym w zakresie terminowego składania deklaracji podatkowych, plików JPK VAT oraz w zakresie terminowych wpłat wszystkich podatków, w szczególności</w:t>
      </w:r>
      <w:r w:rsidRPr="00E103F6">
        <w:rPr>
          <w:rFonts w:ascii="Franklin Gothic Book" w:hAnsi="Franklin Gothic Book"/>
        </w:rPr>
        <w:t>:</w:t>
      </w:r>
    </w:p>
    <w:p w14:paraId="72282CF9" w14:textId="77777777" w:rsidR="00D56A64" w:rsidRPr="00E103F6" w:rsidRDefault="00D56A64" w:rsidP="00D56A64">
      <w:pPr>
        <w:pStyle w:val="Akapitzlist"/>
        <w:numPr>
          <w:ilvl w:val="0"/>
          <w:numId w:val="5"/>
        </w:numPr>
        <w:spacing w:before="120" w:after="120"/>
        <w:ind w:left="1068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lastRenderedPageBreak/>
        <w:t xml:space="preserve">w ustawowym terminie płaci miesięcznie zaliczki na podatek dochodowy od osób prawnych, </w:t>
      </w:r>
    </w:p>
    <w:p w14:paraId="0A523F07" w14:textId="77777777" w:rsidR="00D56A64" w:rsidRPr="00E103F6" w:rsidRDefault="00D56A64" w:rsidP="00D56A64">
      <w:pPr>
        <w:pStyle w:val="Akapitzlist"/>
        <w:numPr>
          <w:ilvl w:val="0"/>
          <w:numId w:val="5"/>
        </w:numPr>
        <w:spacing w:before="120" w:after="120"/>
        <w:ind w:left="1068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w ustawowym terminie wpłaca podatki lokalne,</w:t>
      </w:r>
    </w:p>
    <w:p w14:paraId="104898AF" w14:textId="77777777" w:rsidR="00D56A64" w:rsidRPr="00E103F6" w:rsidRDefault="00D56A64" w:rsidP="00D56A64">
      <w:pPr>
        <w:pStyle w:val="Akapitzlist"/>
        <w:numPr>
          <w:ilvl w:val="0"/>
          <w:numId w:val="5"/>
        </w:numPr>
        <w:spacing w:before="120" w:after="120"/>
        <w:ind w:left="1068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pełni funkcję płatnika zaliczek na podatek dochodowy od osób fizycznych, w ustawowym terminie przesyła informacje i deklaracje do organów podatkowych</w:t>
      </w:r>
      <w:r>
        <w:rPr>
          <w:rFonts w:ascii="Franklin Gothic Book" w:hAnsi="Franklin Gothic Book"/>
        </w:rPr>
        <w:t>,</w:t>
      </w:r>
    </w:p>
    <w:p w14:paraId="4C161A56" w14:textId="77777777" w:rsidR="00D56A64" w:rsidRPr="00E103F6" w:rsidRDefault="00D56A64" w:rsidP="00D56A64">
      <w:pPr>
        <w:pStyle w:val="Akapitzlist"/>
        <w:numPr>
          <w:ilvl w:val="0"/>
          <w:numId w:val="5"/>
        </w:numPr>
        <w:spacing w:before="120" w:after="120"/>
        <w:ind w:left="1068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 xml:space="preserve">w ustawowym terminie </w:t>
      </w:r>
      <w:r w:rsidRPr="005E15DB">
        <w:rPr>
          <w:rFonts w:ascii="Franklin Gothic Book" w:hAnsi="Franklin Gothic Book"/>
        </w:rPr>
        <w:t>płaci roczny podatek dochodowy</w:t>
      </w:r>
      <w:r w:rsidRPr="005E15DB" w:rsidDel="005E15DB">
        <w:rPr>
          <w:rFonts w:ascii="Franklin Gothic Book" w:hAnsi="Franklin Gothic Book"/>
        </w:rPr>
        <w:t xml:space="preserve"> </w:t>
      </w:r>
      <w:r w:rsidRPr="00E103F6">
        <w:rPr>
          <w:rFonts w:ascii="Franklin Gothic Book" w:hAnsi="Franklin Gothic Book"/>
        </w:rPr>
        <w:t>od osób prawnych,</w:t>
      </w:r>
    </w:p>
    <w:p w14:paraId="06FD27E4" w14:textId="7225840D" w:rsidR="00D56A64" w:rsidRPr="00F41EFA" w:rsidRDefault="00D56A64" w:rsidP="00F41EFA">
      <w:pPr>
        <w:pStyle w:val="Akapitzlist"/>
        <w:numPr>
          <w:ilvl w:val="0"/>
          <w:numId w:val="5"/>
        </w:numPr>
        <w:spacing w:before="120" w:after="120"/>
        <w:ind w:left="1068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składa w miesięcznych okresach pliki JPK_VAT oraz reguluje zobowiązanie podatkowe z tego tytułu, ewentualnie wnioskuje o przeniesienie nadwyżki podatku VAT na kolejne okresy rozliczeniowe</w:t>
      </w:r>
      <w:r w:rsidR="00F41EFA">
        <w:rPr>
          <w:rFonts w:ascii="Franklin Gothic Book" w:hAnsi="Franklin Gothic Book"/>
        </w:rPr>
        <w:t xml:space="preserve"> </w:t>
      </w:r>
      <w:r w:rsidR="00F41EFA" w:rsidRPr="00F41EFA">
        <w:rPr>
          <w:rFonts w:ascii="Franklin Gothic Book" w:hAnsi="Franklin Gothic Book"/>
        </w:rPr>
        <w:t>lub zaliczenie na inne zobowiązania podatkowe (CIT lub PIT)</w:t>
      </w:r>
      <w:r w:rsidRPr="00F41EFA">
        <w:rPr>
          <w:rFonts w:ascii="Franklin Gothic Book" w:hAnsi="Franklin Gothic Book"/>
        </w:rPr>
        <w:t>,</w:t>
      </w:r>
    </w:p>
    <w:p w14:paraId="38F016B7" w14:textId="77777777" w:rsidR="00D56A64" w:rsidRPr="00E103F6" w:rsidRDefault="00D56A64" w:rsidP="00D56A64">
      <w:pPr>
        <w:pStyle w:val="Akapitzlist"/>
        <w:numPr>
          <w:ilvl w:val="0"/>
          <w:numId w:val="5"/>
        </w:numPr>
        <w:spacing w:before="120" w:after="120"/>
        <w:ind w:left="1068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na bieżąco weryfikuje obowiązki związane z wypłatą wynagrodzeń na rzecz nierezydentów i, jeśli jest taki obowiązek, pobiera i wpłaca na konto organu podatkowego podatek u źródła.</w:t>
      </w:r>
    </w:p>
    <w:p w14:paraId="6DA44FDB" w14:textId="77777777" w:rsidR="00D56A64" w:rsidRPr="00E103F6" w:rsidRDefault="00D56A64" w:rsidP="00D56A64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korzysta z ulg podatkowych przy jednoczesnym zapewnieniu, że ulgi te nie są wykorzystywane do celów sprzecznych z przepisami podatkowymi;</w:t>
      </w:r>
    </w:p>
    <w:p w14:paraId="53987B8B" w14:textId="77777777" w:rsidR="00D56A64" w:rsidRPr="00E103F6" w:rsidRDefault="00D56A64" w:rsidP="00D56A64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uczciwie oraz profesjonalnie współpracuje w organami podatkowymi w przypadku ewentualnych sporów podatkowych czy niepewności co do interpretacji przepisów podatkowych;</w:t>
      </w:r>
    </w:p>
    <w:p w14:paraId="1BC86E6C" w14:textId="77777777" w:rsidR="00D56A64" w:rsidRPr="00E103F6" w:rsidRDefault="00D56A64" w:rsidP="00D56A64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>stosuje rynkowe ceny i zasady w transakcjach z podmiotami powiązanymi. Spółka monitoruje i sporządza dokumentację cen transferowych i wszelkie obowiązki z tym związane;</w:t>
      </w:r>
    </w:p>
    <w:p w14:paraId="7340E06D" w14:textId="77777777" w:rsidR="00D56A64" w:rsidRPr="00E103F6" w:rsidRDefault="00D56A64" w:rsidP="00D56A64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 xml:space="preserve">na bieżąco dokonuje analizy występowania schematów podatkowych. </w:t>
      </w:r>
    </w:p>
    <w:p w14:paraId="1AEEA279" w14:textId="77777777" w:rsidR="00D56A64" w:rsidRPr="00E103F6" w:rsidRDefault="00D56A64" w:rsidP="00D56A64">
      <w:pPr>
        <w:jc w:val="both"/>
        <w:rPr>
          <w:rFonts w:ascii="Franklin Gothic Book" w:hAnsi="Franklin Gothic Book"/>
        </w:rPr>
      </w:pPr>
      <w:r w:rsidRPr="00E103F6">
        <w:rPr>
          <w:rFonts w:ascii="Franklin Gothic Book" w:hAnsi="Franklin Gothic Book"/>
        </w:rPr>
        <w:t xml:space="preserve">Spółka posiada wdrożoną procedurę wewnętrzną </w:t>
      </w:r>
      <w:r>
        <w:rPr>
          <w:rFonts w:ascii="Franklin Gothic Book" w:hAnsi="Franklin Gothic Book"/>
        </w:rPr>
        <w:t>zapobiegającą</w:t>
      </w:r>
      <w:r w:rsidRPr="00E103F6">
        <w:rPr>
          <w:rFonts w:ascii="Franklin Gothic Book" w:hAnsi="Franklin Gothic Book"/>
        </w:rPr>
        <w:t xml:space="preserve"> niewywiązywaniu się </w:t>
      </w:r>
      <w:r w:rsidRPr="00E103F6">
        <w:rPr>
          <w:rFonts w:ascii="Franklin Gothic Book" w:hAnsi="Franklin Gothic Book"/>
        </w:rPr>
        <w:br/>
        <w:t>z obowiązku przekazywania informacji o schematach podatkowych.</w:t>
      </w:r>
    </w:p>
    <w:p w14:paraId="4FDBAC96" w14:textId="178439DC" w:rsidR="00D56A64" w:rsidRPr="00003DEB" w:rsidRDefault="00D56A64" w:rsidP="00D56A64">
      <w:pPr>
        <w:spacing w:after="240"/>
        <w:jc w:val="both"/>
        <w:rPr>
          <w:rFonts w:ascii="Franklin Gothic Book" w:hAnsi="Franklin Gothic Book"/>
        </w:rPr>
      </w:pPr>
      <w:r w:rsidRPr="00003DEB">
        <w:rPr>
          <w:rFonts w:ascii="Franklin Gothic Book" w:hAnsi="Franklin Gothic Book"/>
        </w:rPr>
        <w:t xml:space="preserve">Spółka w </w:t>
      </w:r>
      <w:r w:rsidR="002E53C0" w:rsidRPr="00003DEB">
        <w:rPr>
          <w:rFonts w:ascii="Franklin Gothic Book" w:hAnsi="Franklin Gothic Book"/>
        </w:rPr>
        <w:t>202</w:t>
      </w:r>
      <w:r w:rsidR="00C5645E">
        <w:rPr>
          <w:rFonts w:ascii="Franklin Gothic Book" w:hAnsi="Franklin Gothic Book"/>
        </w:rPr>
        <w:t>3</w:t>
      </w:r>
      <w:r w:rsidR="002E53C0" w:rsidRPr="00003DEB">
        <w:rPr>
          <w:rFonts w:ascii="Franklin Gothic Book" w:hAnsi="Franklin Gothic Book"/>
        </w:rPr>
        <w:t xml:space="preserve"> </w:t>
      </w:r>
      <w:r w:rsidRPr="00003DEB">
        <w:rPr>
          <w:rFonts w:ascii="Franklin Gothic Book" w:hAnsi="Franklin Gothic Book"/>
        </w:rPr>
        <w:t>r. nie podejmowała działań/transakcji, w stosunku do których można by uznać, iż byłyby one podejmowane w celu uzyskiwania korzyści podatkowej ani szczególnych cech rozpoznawczych czy innych szczególnych cech rozpoznawczych</w:t>
      </w:r>
      <w:r>
        <w:rPr>
          <w:rFonts w:ascii="Franklin Gothic Book" w:hAnsi="Franklin Gothic Book"/>
        </w:rPr>
        <w:t>,</w:t>
      </w:r>
      <w:r w:rsidRPr="00003DEB">
        <w:rPr>
          <w:rFonts w:ascii="Franklin Gothic Book" w:hAnsi="Franklin Gothic Book"/>
        </w:rPr>
        <w:t xml:space="preserve"> które mogłyby zostać zakwalifikowane jako schemat podatkowy. Spółka nie występowała w roli promotora, korzystającego, ani wspomagającego. </w:t>
      </w:r>
    </w:p>
    <w:p w14:paraId="3978CBE9" w14:textId="5F14AE0D" w:rsidR="00D56A64" w:rsidRPr="00003DEB" w:rsidRDefault="00D56A64" w:rsidP="00D56A64">
      <w:pPr>
        <w:spacing w:after="240"/>
        <w:jc w:val="both"/>
        <w:rPr>
          <w:rFonts w:ascii="Franklin Gothic Book" w:hAnsi="Franklin Gothic Book"/>
        </w:rPr>
      </w:pPr>
      <w:r w:rsidRPr="00003DEB">
        <w:rPr>
          <w:rFonts w:ascii="Franklin Gothic Book" w:hAnsi="Franklin Gothic Book"/>
        </w:rPr>
        <w:t xml:space="preserve">W związku z tym w </w:t>
      </w:r>
      <w:r w:rsidR="002E53C0" w:rsidRPr="00003DEB">
        <w:rPr>
          <w:rFonts w:ascii="Franklin Gothic Book" w:hAnsi="Franklin Gothic Book"/>
        </w:rPr>
        <w:t>202</w:t>
      </w:r>
      <w:r w:rsidR="00C5645E">
        <w:rPr>
          <w:rFonts w:ascii="Franklin Gothic Book" w:hAnsi="Franklin Gothic Book"/>
        </w:rPr>
        <w:t>3</w:t>
      </w:r>
      <w:r w:rsidR="002E53C0" w:rsidRPr="00003DEB">
        <w:rPr>
          <w:rFonts w:ascii="Franklin Gothic Book" w:hAnsi="Franklin Gothic Book"/>
        </w:rPr>
        <w:t xml:space="preserve"> </w:t>
      </w:r>
      <w:r w:rsidRPr="00003DEB">
        <w:rPr>
          <w:rFonts w:ascii="Franklin Gothic Book" w:hAnsi="Franklin Gothic Book"/>
        </w:rPr>
        <w:t>r. Spółka nie zidentyfikowała żadnego schematu podatkowego i tym samym nie miała obowiązku przekazywać informacji o schematach podatkowych do Szefa Krajowej Administracji Skarbowej.</w:t>
      </w:r>
    </w:p>
    <w:p w14:paraId="6A33862E" w14:textId="77777777" w:rsidR="00D56A64" w:rsidRPr="00714C68" w:rsidRDefault="00D56A64" w:rsidP="00D56A64">
      <w:pPr>
        <w:pStyle w:val="Akapitzlist"/>
        <w:numPr>
          <w:ilvl w:val="0"/>
          <w:numId w:val="2"/>
        </w:numPr>
        <w:spacing w:before="240" w:line="276" w:lineRule="auto"/>
        <w:ind w:left="426" w:hanging="425"/>
        <w:contextualSpacing w:val="0"/>
        <w:jc w:val="both"/>
        <w:rPr>
          <w:rFonts w:ascii="Franklin Gothic Book" w:hAnsi="Franklin Gothic Book"/>
          <w:b/>
          <w:bCs/>
        </w:rPr>
      </w:pPr>
      <w:r w:rsidRPr="00714C68">
        <w:rPr>
          <w:rFonts w:ascii="Franklin Gothic Book" w:hAnsi="Franklin Gothic Book"/>
          <w:b/>
          <w:bCs/>
        </w:rPr>
        <w:t xml:space="preserve">Informacje </w:t>
      </w:r>
      <w:r>
        <w:rPr>
          <w:rFonts w:ascii="Franklin Gothic Book" w:hAnsi="Franklin Gothic Book"/>
          <w:b/>
          <w:bCs/>
        </w:rPr>
        <w:t xml:space="preserve">o </w:t>
      </w:r>
      <w:r w:rsidRPr="00714C68">
        <w:rPr>
          <w:rFonts w:ascii="Franklin Gothic Book" w:hAnsi="Franklin Gothic Book"/>
          <w:b/>
          <w:bCs/>
        </w:rPr>
        <w:t xml:space="preserve">transakcjach z podmiotami powiązanymi w rozumieniu art. 11a ust. 1 pkt 4 ustawy CIT, których wartość przekracza 5% sumy bilansowej aktywów w rozumieniu przepisów </w:t>
      </w:r>
      <w:r w:rsidRPr="00714C68">
        <w:rPr>
          <w:rFonts w:ascii="Franklin Gothic Book" w:hAnsi="Franklin Gothic Book"/>
          <w:b/>
          <w:bCs/>
        </w:rPr>
        <w:br/>
        <w:t>o rachunkowości, ustalonych na podstawie ostatniego zatwierdzonego sprawozdania finansowego Spółki, w tym podmiotami niebędącymi rezydentami podatkowymi Rzeczypospolitej Polskiej:</w:t>
      </w:r>
    </w:p>
    <w:p w14:paraId="55AF7910" w14:textId="62238176" w:rsidR="00D56A64" w:rsidRDefault="00D56A64" w:rsidP="00D56A64">
      <w:pPr>
        <w:spacing w:before="240"/>
        <w:ind w:left="1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W </w:t>
      </w:r>
      <w:r w:rsidR="002E53C0">
        <w:rPr>
          <w:rFonts w:ascii="Franklin Gothic Book" w:hAnsi="Franklin Gothic Book" w:cs="Times New Roman"/>
        </w:rPr>
        <w:t>202</w:t>
      </w:r>
      <w:r w:rsidR="00C5645E">
        <w:rPr>
          <w:rFonts w:ascii="Franklin Gothic Book" w:hAnsi="Franklin Gothic Book" w:cs="Times New Roman"/>
        </w:rPr>
        <w:t>3</w:t>
      </w:r>
      <w:r w:rsidR="002E53C0">
        <w:rPr>
          <w:rFonts w:ascii="Franklin Gothic Book" w:hAnsi="Franklin Gothic Book" w:cs="Times New Roman"/>
        </w:rPr>
        <w:t xml:space="preserve"> </w:t>
      </w:r>
      <w:r>
        <w:rPr>
          <w:rFonts w:ascii="Franklin Gothic Book" w:hAnsi="Franklin Gothic Book" w:cs="Times New Roman"/>
        </w:rPr>
        <w:t xml:space="preserve">roku </w:t>
      </w:r>
      <w:r w:rsidRPr="00B960BE">
        <w:rPr>
          <w:rFonts w:ascii="Franklin Gothic Book" w:hAnsi="Franklin Gothic Book" w:cs="Times New Roman"/>
        </w:rPr>
        <w:t xml:space="preserve">Spółka </w:t>
      </w:r>
      <w:r w:rsidRPr="009F5984">
        <w:rPr>
          <w:rFonts w:ascii="Franklin Gothic Book" w:hAnsi="Franklin Gothic Book" w:cs="Times New Roman"/>
        </w:rPr>
        <w:t>realizowała</w:t>
      </w:r>
      <w:r w:rsidRPr="009F5984" w:rsidDel="0070012C">
        <w:rPr>
          <w:rFonts w:ascii="Franklin Gothic Book" w:hAnsi="Franklin Gothic Book" w:cs="Times New Roman"/>
        </w:rPr>
        <w:t xml:space="preserve"> </w:t>
      </w:r>
      <w:r w:rsidR="00173833">
        <w:rPr>
          <w:rFonts w:ascii="Franklin Gothic Book" w:hAnsi="Franklin Gothic Book" w:cs="Times New Roman"/>
        </w:rPr>
        <w:t xml:space="preserve">następujące transakcje </w:t>
      </w:r>
      <w:r w:rsidRPr="00B960BE">
        <w:rPr>
          <w:rFonts w:ascii="Franklin Gothic Book" w:hAnsi="Franklin Gothic Book" w:cs="Times New Roman"/>
        </w:rPr>
        <w:t xml:space="preserve">z podmiotami powiązanymi w rozumieniu art. 11a ust. 1 pkt 4 ustawy CIT, których wartość przekracza 5% sumy bilansowej aktywów w rozumieniu przepisów o rachunkowości, ustalonych na podstawie ostatniego zatwierdzonego sprawozdania finansowego Spółki, w tym podmiotami niebędącymi rezydentami podatkowymi </w:t>
      </w:r>
      <w:r w:rsidRPr="00313499">
        <w:rPr>
          <w:rFonts w:ascii="Franklin Gothic Book" w:hAnsi="Franklin Gothic Book"/>
        </w:rPr>
        <w:t>Rzeczypospolitej</w:t>
      </w:r>
      <w:r w:rsidRPr="00B960BE">
        <w:rPr>
          <w:rFonts w:ascii="Franklin Gothic Book" w:hAnsi="Franklin Gothic Book" w:cs="Times New Roman"/>
        </w:rPr>
        <w:t xml:space="preserve"> Polskiej</w:t>
      </w:r>
      <w:r>
        <w:rPr>
          <w:rFonts w:ascii="Franklin Gothic Book" w:hAnsi="Franklin Gothic Book" w:cs="Times New Roman"/>
        </w:rPr>
        <w:t>:</w:t>
      </w:r>
    </w:p>
    <w:p w14:paraId="47C4394C" w14:textId="2CA82DC9" w:rsidR="00D56A64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Sprzedaż materiałów/towarów/produktów</w:t>
      </w:r>
      <w:r w:rsidR="00333BBC">
        <w:rPr>
          <w:rFonts w:ascii="Franklin Gothic Book" w:hAnsi="Franklin Gothic Book"/>
        </w:rPr>
        <w:t>.</w:t>
      </w:r>
    </w:p>
    <w:p w14:paraId="283ADB3F" w14:textId="5FF12290" w:rsidR="00333BBC" w:rsidRPr="00333BBC" w:rsidRDefault="00333BBC" w:rsidP="00333BBC">
      <w:pPr>
        <w:rPr>
          <w:rFonts w:ascii="Franklin Gothic Book" w:hAnsi="Franklin Gothic Book" w:cs="Times New Roman"/>
        </w:rPr>
      </w:pPr>
      <w:r w:rsidRPr="00333BBC">
        <w:rPr>
          <w:rFonts w:ascii="Franklin Gothic Book" w:hAnsi="Franklin Gothic Book" w:cs="Times New Roman"/>
        </w:rPr>
        <w:t>Poniższe transakcje z podmiotami powiązanymi</w:t>
      </w:r>
      <w:r w:rsidR="00573045">
        <w:rPr>
          <w:rFonts w:ascii="Franklin Gothic Book" w:hAnsi="Franklin Gothic Book" w:cs="Times New Roman"/>
        </w:rPr>
        <w:t xml:space="preserve"> </w:t>
      </w:r>
      <w:r w:rsidRPr="00333BBC">
        <w:rPr>
          <w:rFonts w:ascii="Franklin Gothic Book" w:hAnsi="Franklin Gothic Book" w:cs="Times New Roman"/>
        </w:rPr>
        <w:t>nie przekroczyły 5% sumy bilansowej aktywów:</w:t>
      </w:r>
    </w:p>
    <w:p w14:paraId="277C4F7C" w14:textId="77777777" w:rsidR="00333BBC" w:rsidRPr="00333BBC" w:rsidRDefault="00333BBC" w:rsidP="00333BBC">
      <w:pPr>
        <w:spacing w:before="120" w:after="120"/>
        <w:ind w:left="360"/>
        <w:jc w:val="both"/>
        <w:rPr>
          <w:rFonts w:ascii="Franklin Gothic Book" w:hAnsi="Franklin Gothic Book"/>
        </w:rPr>
      </w:pPr>
    </w:p>
    <w:p w14:paraId="77D8C48A" w14:textId="6DEBC4BB" w:rsidR="00C01814" w:rsidRPr="00C62B4B" w:rsidRDefault="00C0181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lastRenderedPageBreak/>
        <w:t>Sprzedaż środków trwałych,</w:t>
      </w:r>
    </w:p>
    <w:p w14:paraId="4DD6F452" w14:textId="58ED105F" w:rsidR="00D56A64" w:rsidRPr="00C62B4B" w:rsidRDefault="005006DE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Udzielenie licencji</w:t>
      </w:r>
      <w:r w:rsidR="00D56A64" w:rsidRPr="00C62B4B">
        <w:rPr>
          <w:rFonts w:ascii="Franklin Gothic Book" w:hAnsi="Franklin Gothic Book"/>
        </w:rPr>
        <w:t>,</w:t>
      </w:r>
    </w:p>
    <w:p w14:paraId="4A67D437" w14:textId="77777777" w:rsidR="00D56A64" w:rsidRPr="00C62B4B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Sprzedaż usług wsparcia (m.in. usługi IT, usługi finansowo-księgowe, usługi kadrowo-płacowe, usługi sekretarsko-biurowe, usługi marketingowe),</w:t>
      </w:r>
    </w:p>
    <w:p w14:paraId="0C452770" w14:textId="77777777" w:rsidR="00D56A64" w:rsidRPr="00C62B4B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Udzielenie pożyczki,</w:t>
      </w:r>
    </w:p>
    <w:p w14:paraId="5406A4EA" w14:textId="046A0FD6" w:rsidR="00D56A64" w:rsidRPr="00C62B4B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Udzielenie zabezpieczeń finansowych (poręczenia/gwarancje),</w:t>
      </w:r>
    </w:p>
    <w:p w14:paraId="73EE2F00" w14:textId="30CB58C5" w:rsidR="00A425B8" w:rsidRPr="00C62B4B" w:rsidRDefault="00A425B8" w:rsidP="00A425B8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Refaktury,</w:t>
      </w:r>
    </w:p>
    <w:p w14:paraId="1DF18BD0" w14:textId="7619AFEF" w:rsidR="00D56A64" w:rsidRPr="00C62B4B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Zakup materiałów/towarów,</w:t>
      </w:r>
    </w:p>
    <w:p w14:paraId="568D6621" w14:textId="77777777" w:rsidR="00D56A64" w:rsidRPr="00C62B4B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Zaciągnięcie pożyczek,</w:t>
      </w:r>
    </w:p>
    <w:p w14:paraId="0993E957" w14:textId="527F53C4" w:rsidR="00D56A64" w:rsidRPr="00C62B4B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Otrzymanie zabezpieczeń finansowych (poręczenia/gwarancje),</w:t>
      </w:r>
    </w:p>
    <w:p w14:paraId="79BD6E6D" w14:textId="16C1D375" w:rsidR="00442EE3" w:rsidRPr="00C62B4B" w:rsidRDefault="00442EE3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Zakup usług (m.in. usług agencyjnych, usług IT, usług reprezentacji i reklamy, usług najmu)</w:t>
      </w:r>
      <w:r w:rsidR="00BC782D" w:rsidRPr="00C62B4B">
        <w:rPr>
          <w:rFonts w:ascii="Franklin Gothic Book" w:hAnsi="Franklin Gothic Book"/>
        </w:rPr>
        <w:t>,</w:t>
      </w:r>
    </w:p>
    <w:p w14:paraId="24D9E4B4" w14:textId="37C5F60F" w:rsidR="005B01AF" w:rsidRPr="00C62B4B" w:rsidRDefault="005B01AF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 xml:space="preserve">Zakup </w:t>
      </w:r>
      <w:r w:rsidR="00C01814" w:rsidRPr="00C62B4B">
        <w:rPr>
          <w:rFonts w:ascii="Franklin Gothic Book" w:hAnsi="Franklin Gothic Book"/>
        </w:rPr>
        <w:t xml:space="preserve">środków trwałych i </w:t>
      </w:r>
      <w:r w:rsidRPr="00C62B4B">
        <w:rPr>
          <w:rFonts w:ascii="Franklin Gothic Book" w:hAnsi="Franklin Gothic Book"/>
        </w:rPr>
        <w:t>wartości niematerialnych i prawnych,</w:t>
      </w:r>
    </w:p>
    <w:p w14:paraId="0A6B70EC" w14:textId="77777777" w:rsidR="00D56A64" w:rsidRDefault="00D56A64" w:rsidP="00D56A6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C62B4B">
        <w:rPr>
          <w:rFonts w:ascii="Franklin Gothic Book" w:hAnsi="Franklin Gothic Book"/>
        </w:rPr>
        <w:t>Inne transakcje o niższym progu istotności.</w:t>
      </w:r>
    </w:p>
    <w:p w14:paraId="4266ACC1" w14:textId="5DA5E1FE" w:rsidR="00333BBC" w:rsidRPr="00C350DC" w:rsidRDefault="00333BBC" w:rsidP="00333BBC">
      <w:pPr>
        <w:spacing w:before="120" w:after="120"/>
        <w:ind w:firstLine="360"/>
        <w:jc w:val="both"/>
        <w:rPr>
          <w:rFonts w:ascii="Franklin Gothic Book" w:hAnsi="Franklin Gothic Book"/>
        </w:rPr>
      </w:pPr>
      <w:r w:rsidRPr="00C350DC">
        <w:rPr>
          <w:rFonts w:ascii="Franklin Gothic Book" w:hAnsi="Franklin Gothic Book"/>
        </w:rPr>
        <w:t xml:space="preserve">Na </w:t>
      </w:r>
      <w:r>
        <w:rPr>
          <w:rFonts w:ascii="Franklin Gothic Book" w:hAnsi="Franklin Gothic Book"/>
        </w:rPr>
        <w:t xml:space="preserve">Koelner </w:t>
      </w:r>
      <w:proofErr w:type="spellStart"/>
      <w:r>
        <w:rPr>
          <w:rFonts w:ascii="Franklin Gothic Book" w:hAnsi="Franklin Gothic Book"/>
        </w:rPr>
        <w:t>Rawlplug</w:t>
      </w:r>
      <w:proofErr w:type="spellEnd"/>
      <w:r>
        <w:rPr>
          <w:rFonts w:ascii="Franklin Gothic Book" w:hAnsi="Franklin Gothic Book"/>
        </w:rPr>
        <w:t xml:space="preserve"> IP sp. z o.o.</w:t>
      </w:r>
      <w:r w:rsidRPr="00C350DC">
        <w:rPr>
          <w:rFonts w:ascii="Franklin Gothic Book" w:hAnsi="Franklin Gothic Book"/>
        </w:rPr>
        <w:t xml:space="preserve"> spoczywał obowiązek związany ze sporządzeniem dokumentacji cen transferowych oraz przekazaniem organom podatkowym informacji o cenach transferowych za Rok podatkowy. Wszelkie obowiązki wynikające z przepisów dotyczących cen transferowych zostały wypełnione przez </w:t>
      </w:r>
      <w:r>
        <w:rPr>
          <w:rFonts w:ascii="Franklin Gothic Book" w:hAnsi="Franklin Gothic Book"/>
        </w:rPr>
        <w:t xml:space="preserve">Koelner </w:t>
      </w:r>
      <w:proofErr w:type="spellStart"/>
      <w:r>
        <w:rPr>
          <w:rFonts w:ascii="Franklin Gothic Book" w:hAnsi="Franklin Gothic Book"/>
        </w:rPr>
        <w:t>Rawlplug</w:t>
      </w:r>
      <w:proofErr w:type="spellEnd"/>
      <w:r>
        <w:rPr>
          <w:rFonts w:ascii="Franklin Gothic Book" w:hAnsi="Franklin Gothic Book"/>
        </w:rPr>
        <w:t xml:space="preserve"> IP sp. z o.o. </w:t>
      </w:r>
      <w:r w:rsidRPr="00C350DC">
        <w:rPr>
          <w:rFonts w:ascii="Franklin Gothic Book" w:hAnsi="Franklin Gothic Book"/>
        </w:rPr>
        <w:t>z zachowaniem ustawowych terminów</w:t>
      </w:r>
      <w:r>
        <w:rPr>
          <w:rFonts w:ascii="Franklin Gothic Book" w:hAnsi="Franklin Gothic Book"/>
        </w:rPr>
        <w:t>.</w:t>
      </w:r>
    </w:p>
    <w:p w14:paraId="414F8D30" w14:textId="77777777" w:rsidR="00333BBC" w:rsidRPr="00333BBC" w:rsidRDefault="00333BBC" w:rsidP="00333BBC">
      <w:pPr>
        <w:spacing w:before="120" w:after="120"/>
        <w:ind w:left="360"/>
        <w:jc w:val="both"/>
        <w:rPr>
          <w:rFonts w:ascii="Franklin Gothic Book" w:hAnsi="Franklin Gothic Book"/>
        </w:rPr>
      </w:pPr>
    </w:p>
    <w:p w14:paraId="56D7B7B1" w14:textId="77777777" w:rsidR="00D56A64" w:rsidRDefault="00D56A64" w:rsidP="00D56A64">
      <w:pPr>
        <w:pStyle w:val="Akapitzlist"/>
        <w:numPr>
          <w:ilvl w:val="0"/>
          <w:numId w:val="2"/>
        </w:numPr>
        <w:spacing w:before="240" w:line="276" w:lineRule="auto"/>
        <w:ind w:left="426" w:hanging="425"/>
        <w:contextualSpacing w:val="0"/>
        <w:jc w:val="both"/>
        <w:rPr>
          <w:rFonts w:ascii="Franklin Gothic Book" w:hAnsi="Franklin Gothic Book"/>
          <w:b/>
          <w:bCs/>
        </w:rPr>
      </w:pPr>
      <w:r w:rsidRPr="00904081">
        <w:rPr>
          <w:rFonts w:ascii="Franklin Gothic Book" w:hAnsi="Franklin Gothic Book"/>
          <w:b/>
          <w:bCs/>
        </w:rPr>
        <w:t xml:space="preserve">Informacje o planowanych lub podejmowanych przez </w:t>
      </w:r>
      <w:r w:rsidRPr="004E54AE">
        <w:rPr>
          <w:rFonts w:ascii="Franklin Gothic Book" w:hAnsi="Franklin Gothic Book"/>
          <w:b/>
          <w:bCs/>
        </w:rPr>
        <w:t xml:space="preserve">Koelner </w:t>
      </w:r>
      <w:proofErr w:type="spellStart"/>
      <w:r w:rsidRPr="004E54AE">
        <w:rPr>
          <w:rFonts w:ascii="Franklin Gothic Book" w:hAnsi="Franklin Gothic Book"/>
          <w:b/>
          <w:bCs/>
        </w:rPr>
        <w:t>Rawlplug</w:t>
      </w:r>
      <w:proofErr w:type="spellEnd"/>
      <w:r w:rsidRPr="004E54AE">
        <w:rPr>
          <w:rFonts w:ascii="Franklin Gothic Book" w:hAnsi="Franklin Gothic Book"/>
          <w:b/>
          <w:bCs/>
        </w:rPr>
        <w:t xml:space="preserve"> IP Sp. z o.o.</w:t>
      </w:r>
      <w:r>
        <w:rPr>
          <w:rFonts w:ascii="Franklin Gothic Book" w:hAnsi="Franklin Gothic Book"/>
          <w:b/>
          <w:bCs/>
        </w:rPr>
        <w:t xml:space="preserve"> </w:t>
      </w:r>
      <w:r w:rsidRPr="00904081">
        <w:rPr>
          <w:rFonts w:ascii="Franklin Gothic Book" w:hAnsi="Franklin Gothic Book"/>
          <w:b/>
          <w:bCs/>
        </w:rPr>
        <w:t>działaniach restrukturyzacyjnych mogących mieć wpływ na wysokość zobowiązań podatkowych podatnika lub podmiotów powiązanych w rozumieniu art. 11a ust. 1 pkt 4 ustawy CIT:</w:t>
      </w:r>
    </w:p>
    <w:p w14:paraId="2CAEF6B7" w14:textId="0435B845" w:rsidR="00D56A64" w:rsidRPr="00605560" w:rsidRDefault="00D56A64" w:rsidP="00D56A64">
      <w:pPr>
        <w:spacing w:before="240"/>
        <w:ind w:left="1"/>
        <w:jc w:val="both"/>
        <w:rPr>
          <w:rFonts w:ascii="Franklin Gothic Book" w:hAnsi="Franklin Gothic Book"/>
        </w:rPr>
      </w:pPr>
      <w:r w:rsidRPr="00605560">
        <w:rPr>
          <w:rFonts w:ascii="Franklin Gothic Book" w:hAnsi="Franklin Gothic Book"/>
        </w:rPr>
        <w:t xml:space="preserve">Spółka w </w:t>
      </w:r>
      <w:r w:rsidR="002E53C0" w:rsidRPr="00605560">
        <w:rPr>
          <w:rFonts w:ascii="Franklin Gothic Book" w:hAnsi="Franklin Gothic Book"/>
        </w:rPr>
        <w:t>202</w:t>
      </w:r>
      <w:r w:rsidR="00C5645E">
        <w:rPr>
          <w:rFonts w:ascii="Franklin Gothic Book" w:hAnsi="Franklin Gothic Book"/>
        </w:rPr>
        <w:t>3</w:t>
      </w:r>
      <w:r w:rsidR="002E53C0" w:rsidRPr="00605560">
        <w:rPr>
          <w:rFonts w:ascii="Franklin Gothic Book" w:hAnsi="Franklin Gothic Book"/>
        </w:rPr>
        <w:t xml:space="preserve"> </w:t>
      </w:r>
      <w:r w:rsidRPr="00605560">
        <w:rPr>
          <w:rFonts w:ascii="Franklin Gothic Book" w:hAnsi="Franklin Gothic Book"/>
        </w:rPr>
        <w:t>r. nie podejmowała żadnych działań restrukturyzacyjnych mogących mieć wpływ na wysokość własnych zobowiązań podatkowych, ani na wysokość zobowiązań podmiotów powiązanych.</w:t>
      </w:r>
    </w:p>
    <w:p w14:paraId="4F3B9628" w14:textId="31A38AA1" w:rsidR="00D56A64" w:rsidRPr="00897ED7" w:rsidRDefault="00D56A64" w:rsidP="00D56A64">
      <w:pPr>
        <w:pStyle w:val="Akapitzlist"/>
        <w:numPr>
          <w:ilvl w:val="0"/>
          <w:numId w:val="2"/>
        </w:numPr>
        <w:spacing w:before="240" w:line="276" w:lineRule="auto"/>
        <w:ind w:left="426" w:hanging="425"/>
        <w:contextualSpacing w:val="0"/>
        <w:jc w:val="both"/>
        <w:rPr>
          <w:rFonts w:ascii="Franklin Gothic Book" w:hAnsi="Franklin Gothic Book"/>
          <w:b/>
          <w:bCs/>
        </w:rPr>
      </w:pPr>
      <w:bookmarkStart w:id="1" w:name="_Hlk153179357"/>
      <w:r w:rsidRPr="00897ED7">
        <w:rPr>
          <w:rFonts w:ascii="Franklin Gothic Book" w:hAnsi="Franklin Gothic Book"/>
          <w:b/>
          <w:bCs/>
        </w:rPr>
        <w:t xml:space="preserve">Informacje o złożonych przez </w:t>
      </w:r>
      <w:r w:rsidRPr="00605560">
        <w:rPr>
          <w:rFonts w:ascii="Franklin Gothic Book" w:hAnsi="Franklin Gothic Book"/>
          <w:b/>
          <w:bCs/>
        </w:rPr>
        <w:t xml:space="preserve">Koelner </w:t>
      </w:r>
      <w:proofErr w:type="spellStart"/>
      <w:r w:rsidRPr="00605560">
        <w:rPr>
          <w:rFonts w:ascii="Franklin Gothic Book" w:hAnsi="Franklin Gothic Book"/>
          <w:b/>
          <w:bCs/>
        </w:rPr>
        <w:t>Rawlplug</w:t>
      </w:r>
      <w:proofErr w:type="spellEnd"/>
      <w:r w:rsidRPr="00605560">
        <w:rPr>
          <w:rFonts w:ascii="Franklin Gothic Book" w:hAnsi="Franklin Gothic Book"/>
          <w:b/>
          <w:bCs/>
        </w:rPr>
        <w:t xml:space="preserve"> IP Sp. z o.o. </w:t>
      </w:r>
      <w:r w:rsidRPr="00897ED7">
        <w:rPr>
          <w:rFonts w:ascii="Franklin Gothic Book" w:hAnsi="Franklin Gothic Book"/>
          <w:b/>
          <w:bCs/>
        </w:rPr>
        <w:t>wnioskach o wydanie ogólnej interpretacji podatkowej, o której mowa w art. 14a § 1 Ordynacji podatkowej, interpretacji przepisów prawa podatkowego, o której mowa w art. 14b Ordynacji podatkowej, wiążącej informacji stawkowej, o której mowa w art. 42a ustawy o podatku od towarów i usług, wiążącej informacji akcyzowej, o której mowa w art. 7d ust. 1 ustawy z dnia 6 grudnia 2008 r. o podatku akcyzowym (</w:t>
      </w:r>
      <w:r w:rsidR="005B01AF" w:rsidRPr="00897ED7">
        <w:rPr>
          <w:rFonts w:ascii="Franklin Gothic Book" w:hAnsi="Franklin Gothic Book"/>
          <w:b/>
          <w:bCs/>
        </w:rPr>
        <w:t>Dz. U. z 202</w:t>
      </w:r>
      <w:r w:rsidR="00333BBC">
        <w:rPr>
          <w:rFonts w:ascii="Franklin Gothic Book" w:hAnsi="Franklin Gothic Book"/>
          <w:b/>
          <w:bCs/>
        </w:rPr>
        <w:t>3</w:t>
      </w:r>
      <w:r w:rsidR="005B01AF" w:rsidRPr="00897ED7">
        <w:rPr>
          <w:rFonts w:ascii="Franklin Gothic Book" w:hAnsi="Franklin Gothic Book"/>
          <w:b/>
          <w:bCs/>
        </w:rPr>
        <w:t xml:space="preserve"> r. poz. </w:t>
      </w:r>
      <w:r w:rsidR="00333BBC">
        <w:rPr>
          <w:rFonts w:ascii="Franklin Gothic Book" w:hAnsi="Franklin Gothic Book"/>
          <w:b/>
          <w:bCs/>
        </w:rPr>
        <w:t>1542</w:t>
      </w:r>
      <w:r w:rsidRPr="00897ED7">
        <w:rPr>
          <w:rFonts w:ascii="Franklin Gothic Book" w:hAnsi="Franklin Gothic Book"/>
          <w:b/>
          <w:bCs/>
        </w:rPr>
        <w:t xml:space="preserve">, z </w:t>
      </w:r>
      <w:proofErr w:type="spellStart"/>
      <w:r w:rsidRPr="00897ED7">
        <w:rPr>
          <w:rFonts w:ascii="Franklin Gothic Book" w:hAnsi="Franklin Gothic Book"/>
          <w:b/>
          <w:bCs/>
        </w:rPr>
        <w:t>późn</w:t>
      </w:r>
      <w:proofErr w:type="spellEnd"/>
      <w:r w:rsidRPr="00897ED7">
        <w:rPr>
          <w:rFonts w:ascii="Franklin Gothic Book" w:hAnsi="Franklin Gothic Book"/>
          <w:b/>
          <w:bCs/>
        </w:rPr>
        <w:t>. zm.):</w:t>
      </w:r>
    </w:p>
    <w:p w14:paraId="3BFC67E7" w14:textId="1CD3C23D" w:rsidR="00D56A64" w:rsidRPr="00897ED7" w:rsidRDefault="00D56A64" w:rsidP="00D56A64">
      <w:pPr>
        <w:spacing w:before="120" w:after="120"/>
        <w:jc w:val="both"/>
        <w:rPr>
          <w:rFonts w:ascii="Franklin Gothic Book" w:hAnsi="Franklin Gothic Book"/>
        </w:rPr>
      </w:pPr>
      <w:r w:rsidRPr="00897ED7">
        <w:rPr>
          <w:rFonts w:ascii="Franklin Gothic Book" w:hAnsi="Franklin Gothic Book"/>
        </w:rPr>
        <w:t xml:space="preserve">Spółka w </w:t>
      </w:r>
      <w:r w:rsidR="002E53C0" w:rsidRPr="00897ED7">
        <w:rPr>
          <w:rFonts w:ascii="Franklin Gothic Book" w:hAnsi="Franklin Gothic Book"/>
        </w:rPr>
        <w:t>202</w:t>
      </w:r>
      <w:r w:rsidR="00C5645E">
        <w:rPr>
          <w:rFonts w:ascii="Franklin Gothic Book" w:hAnsi="Franklin Gothic Book"/>
        </w:rPr>
        <w:t>3</w:t>
      </w:r>
      <w:r w:rsidR="002E53C0" w:rsidRPr="00897ED7">
        <w:rPr>
          <w:rFonts w:ascii="Franklin Gothic Book" w:hAnsi="Franklin Gothic Book"/>
        </w:rPr>
        <w:t xml:space="preserve"> </w:t>
      </w:r>
      <w:r w:rsidRPr="00897ED7">
        <w:rPr>
          <w:rFonts w:ascii="Franklin Gothic Book" w:hAnsi="Franklin Gothic Book"/>
        </w:rPr>
        <w:t>r.:</w:t>
      </w:r>
    </w:p>
    <w:p w14:paraId="5D2AEDEB" w14:textId="77777777" w:rsidR="00D56A64" w:rsidRPr="00897ED7" w:rsidRDefault="00D56A64" w:rsidP="00D56A6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897ED7">
        <w:rPr>
          <w:rFonts w:ascii="Franklin Gothic Book" w:hAnsi="Franklin Gothic Book"/>
        </w:rPr>
        <w:t>nie składała wniosków o wydanie ogólnej interpretacji podatkowej, o której mowa w art. 14a § 1 Ordynacji podatkowej,</w:t>
      </w:r>
    </w:p>
    <w:p w14:paraId="52F64AE1" w14:textId="77777777" w:rsidR="00D56A64" w:rsidRPr="00897ED7" w:rsidRDefault="00D56A64" w:rsidP="00D56A6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897ED7">
        <w:rPr>
          <w:rFonts w:ascii="Franklin Gothic Book" w:hAnsi="Franklin Gothic Book"/>
        </w:rPr>
        <w:t>nie składała wniosków o wydanie indywidualnej interpretacji przepisów prawa podatkowego, o której mowa w art. 14b Ordynacji podatkowej,</w:t>
      </w:r>
    </w:p>
    <w:p w14:paraId="4DA372E7" w14:textId="77777777" w:rsidR="00D56A64" w:rsidRPr="00897ED7" w:rsidRDefault="00D56A64" w:rsidP="00D56A6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897ED7">
        <w:rPr>
          <w:rFonts w:ascii="Franklin Gothic Book" w:hAnsi="Franklin Gothic Book"/>
        </w:rPr>
        <w:lastRenderedPageBreak/>
        <w:t>nie składała wniosków o wydanie wiążącej informacji stawkowej, o której mowa w art. 42a ustawy o podatku od towarów i usług,</w:t>
      </w:r>
    </w:p>
    <w:p w14:paraId="127BE79B" w14:textId="26687403" w:rsidR="00D56A64" w:rsidRPr="00897ED7" w:rsidRDefault="00D56A64" w:rsidP="00D56A6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Franklin Gothic Book" w:hAnsi="Franklin Gothic Book"/>
        </w:rPr>
      </w:pPr>
      <w:r w:rsidRPr="00897ED7">
        <w:rPr>
          <w:rFonts w:ascii="Franklin Gothic Book" w:hAnsi="Franklin Gothic Book"/>
        </w:rPr>
        <w:t>nie składała wniosków o wydanie wiążącej informacji akcyzowej, o której mowa w art. 7d ust. 1 ustawy z dnia 6 grudnia 2008 r. o podatku akcyzowym (</w:t>
      </w:r>
      <w:r w:rsidR="005B01AF" w:rsidRPr="005B01AF">
        <w:rPr>
          <w:rFonts w:ascii="Franklin Gothic Book" w:hAnsi="Franklin Gothic Book"/>
        </w:rPr>
        <w:t>Dz. U. z 202</w:t>
      </w:r>
      <w:r w:rsidR="00333BBC">
        <w:rPr>
          <w:rFonts w:ascii="Franklin Gothic Book" w:hAnsi="Franklin Gothic Book"/>
        </w:rPr>
        <w:t>3</w:t>
      </w:r>
      <w:r w:rsidR="005B01AF" w:rsidRPr="005B01AF">
        <w:rPr>
          <w:rFonts w:ascii="Franklin Gothic Book" w:hAnsi="Franklin Gothic Book"/>
        </w:rPr>
        <w:t xml:space="preserve"> r. poz. </w:t>
      </w:r>
      <w:r w:rsidR="00333BBC">
        <w:rPr>
          <w:rFonts w:ascii="Franklin Gothic Book" w:hAnsi="Franklin Gothic Book"/>
        </w:rPr>
        <w:t>1542</w:t>
      </w:r>
      <w:r w:rsidRPr="00897ED7">
        <w:rPr>
          <w:rFonts w:ascii="Franklin Gothic Book" w:hAnsi="Franklin Gothic Book"/>
        </w:rPr>
        <w:t>).</w:t>
      </w:r>
    </w:p>
    <w:bookmarkEnd w:id="1"/>
    <w:p w14:paraId="3670D710" w14:textId="77777777" w:rsidR="00D56A64" w:rsidRPr="00C406D1" w:rsidRDefault="00D56A64" w:rsidP="00D56A64">
      <w:pPr>
        <w:pStyle w:val="Akapitzlist"/>
        <w:numPr>
          <w:ilvl w:val="0"/>
          <w:numId w:val="2"/>
        </w:numPr>
        <w:spacing w:before="240" w:line="276" w:lineRule="auto"/>
        <w:ind w:left="426" w:hanging="425"/>
        <w:contextualSpacing w:val="0"/>
        <w:jc w:val="both"/>
        <w:rPr>
          <w:rFonts w:ascii="Franklin Gothic Book" w:hAnsi="Franklin Gothic Book"/>
          <w:b/>
          <w:bCs/>
        </w:rPr>
      </w:pPr>
      <w:r w:rsidRPr="00C406D1">
        <w:rPr>
          <w:rFonts w:ascii="Franklin Gothic Book" w:hAnsi="Franklin Gothic Book"/>
          <w:b/>
          <w:bCs/>
        </w:rPr>
        <w:t xml:space="preserve">Informacje dotyczące dokonywania rozliczeń podatkowych podatnika na terytoriach lub </w:t>
      </w:r>
      <w:r w:rsidRPr="00C406D1">
        <w:rPr>
          <w:rFonts w:ascii="Franklin Gothic Book" w:hAnsi="Franklin Gothic Book"/>
          <w:b/>
          <w:bCs/>
        </w:rPr>
        <w:br/>
        <w:t>w krajach stosujących szkodliwą konkurencję podatkową wskazanych w aktach wykonawczych wydanych na podstawie art. 11j ust. 2</w:t>
      </w:r>
      <w:r>
        <w:rPr>
          <w:rFonts w:ascii="Franklin Gothic Book" w:hAnsi="Franklin Gothic Book"/>
          <w:b/>
          <w:bCs/>
        </w:rPr>
        <w:t xml:space="preserve"> </w:t>
      </w:r>
      <w:r w:rsidRPr="001824CE">
        <w:rPr>
          <w:rFonts w:ascii="Franklin Gothic Book" w:hAnsi="Franklin Gothic Book"/>
          <w:b/>
          <w:bCs/>
        </w:rPr>
        <w:t>ustawy o podatku dochodowym od osób prawnych</w:t>
      </w:r>
      <w:r>
        <w:rPr>
          <w:rFonts w:ascii="Franklin Gothic Book" w:hAnsi="Franklin Gothic Book"/>
          <w:b/>
          <w:bCs/>
        </w:rPr>
        <w:t xml:space="preserve"> </w:t>
      </w:r>
      <w:r w:rsidRPr="00C406D1">
        <w:rPr>
          <w:rFonts w:ascii="Franklin Gothic Book" w:hAnsi="Franklin Gothic Book"/>
          <w:b/>
          <w:bCs/>
        </w:rPr>
        <w:t xml:space="preserve">i na podstawie art. 23v ust. 2 ustawy o podatku dochodowym od osób fizycznych oraz w obwieszczeniu ministra właściwego do spraw finansów publicznych wydanym na podstawie art. 86a § 10 Ordynacji podatkowej: </w:t>
      </w:r>
    </w:p>
    <w:p w14:paraId="73079E16" w14:textId="6A8C3D12" w:rsidR="004346C5" w:rsidRPr="00556B53" w:rsidRDefault="00D56A64" w:rsidP="00CA1D7B">
      <w:pPr>
        <w:spacing w:before="240"/>
        <w:ind w:firstLine="1"/>
        <w:jc w:val="both"/>
      </w:pPr>
      <w:bookmarkStart w:id="2" w:name="_Hlk120708242"/>
      <w:r w:rsidRPr="00375D24">
        <w:rPr>
          <w:rFonts w:ascii="Franklin Gothic Book" w:hAnsi="Franklin Gothic Book"/>
        </w:rPr>
        <w:t xml:space="preserve">Spółka w </w:t>
      </w:r>
      <w:r w:rsidR="002E53C0" w:rsidRPr="00375D24">
        <w:rPr>
          <w:rFonts w:ascii="Franklin Gothic Book" w:hAnsi="Franklin Gothic Book"/>
        </w:rPr>
        <w:t>202</w:t>
      </w:r>
      <w:r w:rsidR="00C5645E">
        <w:rPr>
          <w:rFonts w:ascii="Franklin Gothic Book" w:hAnsi="Franklin Gothic Book"/>
        </w:rPr>
        <w:t>3</w:t>
      </w:r>
      <w:r w:rsidR="002E53C0" w:rsidRPr="00375D24">
        <w:rPr>
          <w:rFonts w:ascii="Franklin Gothic Book" w:hAnsi="Franklin Gothic Book"/>
        </w:rPr>
        <w:t xml:space="preserve"> </w:t>
      </w:r>
      <w:r w:rsidRPr="00375D24">
        <w:rPr>
          <w:rFonts w:ascii="Franklin Gothic Book" w:hAnsi="Franklin Gothic Book"/>
        </w:rPr>
        <w:t xml:space="preserve">r. nie dokonywała rozliczeń podatkowych z kontrahentami na terytoriach lub w krajach stosujących szkodliwą konkurencję podatkową wskazanych w aktach wykonawczych wydanych na podstawie art. 11j ust. 2 </w:t>
      </w:r>
      <w:r>
        <w:rPr>
          <w:rFonts w:ascii="Franklin Gothic Book" w:hAnsi="Franklin Gothic Book"/>
        </w:rPr>
        <w:t xml:space="preserve">ustawy CIT </w:t>
      </w:r>
      <w:r w:rsidRPr="00375D24">
        <w:rPr>
          <w:rFonts w:ascii="Franklin Gothic Book" w:hAnsi="Franklin Gothic Book"/>
        </w:rPr>
        <w:t>i na podstawie art. 23v ust. 2 ustawy o podatku dochodowym od osób fizycznych oraz w obwieszczeniu ministra właściwego do spraw finansów publicznych wydanym na podstawie art. 86a § 10 Ordynacji podatkowej.</w:t>
      </w:r>
      <w:bookmarkEnd w:id="2"/>
    </w:p>
    <w:sectPr w:rsidR="004346C5" w:rsidRPr="00556B53" w:rsidSect="00E579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843" w:right="851" w:bottom="567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BE48" w14:textId="77777777" w:rsidR="00C1646A" w:rsidRDefault="00C1646A" w:rsidP="0075252A">
      <w:pPr>
        <w:spacing w:after="0" w:line="240" w:lineRule="auto"/>
      </w:pPr>
      <w:r>
        <w:separator/>
      </w:r>
    </w:p>
  </w:endnote>
  <w:endnote w:type="continuationSeparator" w:id="0">
    <w:p w14:paraId="1B289AD5" w14:textId="77777777" w:rsidR="00C1646A" w:rsidRDefault="00C1646A" w:rsidP="007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66FD" w14:textId="77777777" w:rsidR="00D56A64" w:rsidRDefault="00D56A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0123" w14:textId="76E22494" w:rsidR="00D56A64" w:rsidRPr="005432DD" w:rsidRDefault="00CA1D7B" w:rsidP="00CA1D7B">
    <w:pPr>
      <w:pStyle w:val="Stopka"/>
      <w:jc w:val="center"/>
      <w:rPr>
        <w:rFonts w:ascii="Franklin Gothic Book" w:hAnsi="Franklin Gothic Book"/>
        <w:sz w:val="16"/>
        <w:szCs w:val="16"/>
      </w:rPr>
    </w:pPr>
    <w:r w:rsidRPr="000A115A">
      <w:rPr>
        <w:noProof/>
      </w:rPr>
      <w:drawing>
        <wp:inline distT="0" distB="0" distL="0" distR="0" wp14:anchorId="5CA22E56" wp14:editId="54D87AB9">
          <wp:extent cx="5360163" cy="1070772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163" cy="107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4F71" w14:textId="77777777" w:rsidR="00D56A64" w:rsidRDefault="00D56A6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203C" w14:textId="77777777" w:rsidR="000A115A" w:rsidRDefault="000A115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07BD" w14:textId="77777777" w:rsidR="0075252A" w:rsidRDefault="00293933" w:rsidP="000A115A">
    <w:pPr>
      <w:pStyle w:val="Stopka"/>
    </w:pPr>
    <w:r w:rsidRPr="000A115A">
      <w:rPr>
        <w:noProof/>
      </w:rPr>
      <w:drawing>
        <wp:inline distT="0" distB="0" distL="0" distR="0" wp14:anchorId="3281309B" wp14:editId="7A12D95A">
          <wp:extent cx="5360163" cy="10707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papier_firmowy_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163" cy="107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153C" w14:textId="77777777" w:rsidR="000A115A" w:rsidRDefault="000A1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5E2C" w14:textId="77777777" w:rsidR="00C1646A" w:rsidRDefault="00C1646A" w:rsidP="0075252A">
      <w:pPr>
        <w:spacing w:after="0" w:line="240" w:lineRule="auto"/>
      </w:pPr>
      <w:r>
        <w:separator/>
      </w:r>
    </w:p>
  </w:footnote>
  <w:footnote w:type="continuationSeparator" w:id="0">
    <w:p w14:paraId="62C95E2B" w14:textId="77777777" w:rsidR="00C1646A" w:rsidRDefault="00C1646A" w:rsidP="0075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E83D" w14:textId="77777777" w:rsidR="00D56A64" w:rsidRDefault="00D56A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A435" w14:textId="77777777" w:rsidR="00D56A64" w:rsidRDefault="00D56A64" w:rsidP="00127B8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5BF6" w14:textId="77777777" w:rsidR="00D56A64" w:rsidRDefault="00D56A6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9E0D" w14:textId="77777777" w:rsidR="007144ED" w:rsidRDefault="003B67EA">
    <w:pPr>
      <w:pStyle w:val="Nagwek"/>
    </w:pPr>
    <w:r>
      <w:rPr>
        <w:noProof/>
        <w:lang w:eastAsia="pl-PL"/>
      </w:rPr>
      <w:pict w14:anchorId="62FC2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8853" o:spid="_x0000_s2051" type="#_x0000_t75" alt="" style="position:absolute;margin-left:0;margin-top:0;width:595.2pt;height:841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_znak_wodn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F6A2" w14:textId="77777777" w:rsidR="0075252A" w:rsidRDefault="003B67EA" w:rsidP="00F0636E">
    <w:pPr>
      <w:pStyle w:val="Nagwek"/>
      <w:tabs>
        <w:tab w:val="clear" w:pos="9072"/>
        <w:tab w:val="right" w:pos="11057"/>
      </w:tabs>
      <w:ind w:left="-851"/>
      <w:jc w:val="right"/>
    </w:pPr>
    <w:r>
      <w:rPr>
        <w:noProof/>
        <w:lang w:eastAsia="pl-PL"/>
      </w:rPr>
      <w:pict w14:anchorId="7E89B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8854" o:spid="_x0000_s2050" type="#_x0000_t75" alt="" style="position:absolute;left:0;text-align:left;margin-left:0;margin-top:0;width:595.2pt;height:841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_znak_wodny"/>
          <w10:wrap anchorx="margin" anchory="margin"/>
        </v:shape>
      </w:pict>
    </w:r>
    <w:r w:rsidR="00F0636E">
      <w:ptab w:relativeTo="margin" w:alignment="right" w:leader="none"/>
    </w:r>
    <w:r w:rsidR="00F0636E">
      <w:rPr>
        <w:noProof/>
        <w:lang w:eastAsia="pl-PL"/>
      </w:rPr>
      <w:drawing>
        <wp:inline distT="0" distB="0" distL="0" distR="0" wp14:anchorId="035DA7DF" wp14:editId="3AFDB7CE">
          <wp:extent cx="5795159" cy="585536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papier_firmowy_glow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97" cy="586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4FB9" w14:textId="77777777" w:rsidR="007144ED" w:rsidRDefault="003B67EA">
    <w:pPr>
      <w:pStyle w:val="Nagwek"/>
    </w:pPr>
    <w:r>
      <w:rPr>
        <w:noProof/>
        <w:lang w:eastAsia="pl-PL"/>
      </w:rPr>
      <w:pict w14:anchorId="2638E3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8852" o:spid="_x0000_s2049" type="#_x0000_t75" alt="" style="position:absolute;margin-left:0;margin-top:0;width:595.2pt;height:841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_znak_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9FC"/>
    <w:multiLevelType w:val="hybridMultilevel"/>
    <w:tmpl w:val="2228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478"/>
    <w:multiLevelType w:val="hybridMultilevel"/>
    <w:tmpl w:val="2196F7A8"/>
    <w:lvl w:ilvl="0" w:tplc="0415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2C950480"/>
    <w:multiLevelType w:val="hybridMultilevel"/>
    <w:tmpl w:val="9BF460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F418B"/>
    <w:multiLevelType w:val="hybridMultilevel"/>
    <w:tmpl w:val="899EE8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77DC8"/>
    <w:multiLevelType w:val="hybridMultilevel"/>
    <w:tmpl w:val="0F685D54"/>
    <w:lvl w:ilvl="0" w:tplc="F1DAFA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8FF3448"/>
    <w:multiLevelType w:val="hybridMultilevel"/>
    <w:tmpl w:val="30CA1E18"/>
    <w:lvl w:ilvl="0" w:tplc="F50EABD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A5FC9"/>
    <w:multiLevelType w:val="hybridMultilevel"/>
    <w:tmpl w:val="E7CA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89495">
    <w:abstractNumId w:val="5"/>
  </w:num>
  <w:num w:numId="2" w16cid:durableId="2110000956">
    <w:abstractNumId w:val="1"/>
  </w:num>
  <w:num w:numId="3" w16cid:durableId="1503474977">
    <w:abstractNumId w:val="6"/>
  </w:num>
  <w:num w:numId="4" w16cid:durableId="623464886">
    <w:abstractNumId w:val="0"/>
  </w:num>
  <w:num w:numId="5" w16cid:durableId="680133195">
    <w:abstractNumId w:val="4"/>
  </w:num>
  <w:num w:numId="6" w16cid:durableId="508957371">
    <w:abstractNumId w:val="3"/>
  </w:num>
  <w:num w:numId="7" w16cid:durableId="121512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2A"/>
    <w:rsid w:val="00023FAE"/>
    <w:rsid w:val="00033ACB"/>
    <w:rsid w:val="00053002"/>
    <w:rsid w:val="000575D7"/>
    <w:rsid w:val="00081C77"/>
    <w:rsid w:val="000A115A"/>
    <w:rsid w:val="000A60D4"/>
    <w:rsid w:val="000E388C"/>
    <w:rsid w:val="00126149"/>
    <w:rsid w:val="00134219"/>
    <w:rsid w:val="001355B4"/>
    <w:rsid w:val="00173833"/>
    <w:rsid w:val="00193FAD"/>
    <w:rsid w:val="001B6130"/>
    <w:rsid w:val="001D4E85"/>
    <w:rsid w:val="00207EF1"/>
    <w:rsid w:val="002366C9"/>
    <w:rsid w:val="002379D2"/>
    <w:rsid w:val="00260DF5"/>
    <w:rsid w:val="00282675"/>
    <w:rsid w:val="0028374C"/>
    <w:rsid w:val="00293933"/>
    <w:rsid w:val="00296CFA"/>
    <w:rsid w:val="002A2AE5"/>
    <w:rsid w:val="002E53C0"/>
    <w:rsid w:val="002F1211"/>
    <w:rsid w:val="002F6502"/>
    <w:rsid w:val="00300771"/>
    <w:rsid w:val="00333BBC"/>
    <w:rsid w:val="003911D1"/>
    <w:rsid w:val="003B5172"/>
    <w:rsid w:val="003B67EA"/>
    <w:rsid w:val="003F1A7D"/>
    <w:rsid w:val="00426D9C"/>
    <w:rsid w:val="004346C5"/>
    <w:rsid w:val="00442EE3"/>
    <w:rsid w:val="00447FE2"/>
    <w:rsid w:val="00462384"/>
    <w:rsid w:val="00493AEC"/>
    <w:rsid w:val="004B4070"/>
    <w:rsid w:val="005006DE"/>
    <w:rsid w:val="00556B53"/>
    <w:rsid w:val="00573045"/>
    <w:rsid w:val="005761A5"/>
    <w:rsid w:val="005A7678"/>
    <w:rsid w:val="005B01AF"/>
    <w:rsid w:val="005D1995"/>
    <w:rsid w:val="005F13C9"/>
    <w:rsid w:val="006275A4"/>
    <w:rsid w:val="0065282E"/>
    <w:rsid w:val="006942AB"/>
    <w:rsid w:val="006D3E8A"/>
    <w:rsid w:val="006D5753"/>
    <w:rsid w:val="006D5FD8"/>
    <w:rsid w:val="006E38B0"/>
    <w:rsid w:val="007144ED"/>
    <w:rsid w:val="0075252A"/>
    <w:rsid w:val="0075744C"/>
    <w:rsid w:val="00773156"/>
    <w:rsid w:val="0077596C"/>
    <w:rsid w:val="007B2194"/>
    <w:rsid w:val="007E04F5"/>
    <w:rsid w:val="00824F03"/>
    <w:rsid w:val="00844741"/>
    <w:rsid w:val="00857125"/>
    <w:rsid w:val="00891D01"/>
    <w:rsid w:val="00891E64"/>
    <w:rsid w:val="008B726A"/>
    <w:rsid w:val="008F4AD6"/>
    <w:rsid w:val="00925067"/>
    <w:rsid w:val="00960C16"/>
    <w:rsid w:val="0098199E"/>
    <w:rsid w:val="009E2AFA"/>
    <w:rsid w:val="009E67AA"/>
    <w:rsid w:val="00A00DD2"/>
    <w:rsid w:val="00A15C9C"/>
    <w:rsid w:val="00A20A97"/>
    <w:rsid w:val="00A425B8"/>
    <w:rsid w:val="00A50B96"/>
    <w:rsid w:val="00A64E82"/>
    <w:rsid w:val="00A731D5"/>
    <w:rsid w:val="00AB23B7"/>
    <w:rsid w:val="00B02E08"/>
    <w:rsid w:val="00B10AE6"/>
    <w:rsid w:val="00B22FFF"/>
    <w:rsid w:val="00B72E17"/>
    <w:rsid w:val="00B867D5"/>
    <w:rsid w:val="00B95744"/>
    <w:rsid w:val="00BA341B"/>
    <w:rsid w:val="00BC782D"/>
    <w:rsid w:val="00BF7D2A"/>
    <w:rsid w:val="00C01814"/>
    <w:rsid w:val="00C1646A"/>
    <w:rsid w:val="00C5645E"/>
    <w:rsid w:val="00C62B4B"/>
    <w:rsid w:val="00C656D8"/>
    <w:rsid w:val="00C67B3C"/>
    <w:rsid w:val="00C83819"/>
    <w:rsid w:val="00C91451"/>
    <w:rsid w:val="00CA1D7B"/>
    <w:rsid w:val="00CC7A3E"/>
    <w:rsid w:val="00CE39F3"/>
    <w:rsid w:val="00CF31C1"/>
    <w:rsid w:val="00CF6E99"/>
    <w:rsid w:val="00D30B25"/>
    <w:rsid w:val="00D42006"/>
    <w:rsid w:val="00D56A64"/>
    <w:rsid w:val="00D73DE7"/>
    <w:rsid w:val="00D84015"/>
    <w:rsid w:val="00DB4A7D"/>
    <w:rsid w:val="00E10028"/>
    <w:rsid w:val="00E10724"/>
    <w:rsid w:val="00E31AB2"/>
    <w:rsid w:val="00E57957"/>
    <w:rsid w:val="00E93554"/>
    <w:rsid w:val="00ED4382"/>
    <w:rsid w:val="00F0636E"/>
    <w:rsid w:val="00F41EFA"/>
    <w:rsid w:val="00F967E5"/>
    <w:rsid w:val="00FA0C8C"/>
    <w:rsid w:val="00FA5285"/>
    <w:rsid w:val="00FB2CDD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F79BCF"/>
  <w15:docId w15:val="{AB109CE0-0296-47A9-9325-F61F5460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52A"/>
  </w:style>
  <w:style w:type="paragraph" w:styleId="Stopka">
    <w:name w:val="footer"/>
    <w:basedOn w:val="Normalny"/>
    <w:link w:val="StopkaZnak"/>
    <w:uiPriority w:val="99"/>
    <w:unhideWhenUsed/>
    <w:rsid w:val="0075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52A"/>
  </w:style>
  <w:style w:type="paragraph" w:styleId="Tekstdymka">
    <w:name w:val="Balloon Text"/>
    <w:basedOn w:val="Normalny"/>
    <w:link w:val="TekstdymkaZnak"/>
    <w:uiPriority w:val="99"/>
    <w:semiHidden/>
    <w:unhideWhenUsed/>
    <w:rsid w:val="0075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355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62384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24F03"/>
    <w:rPr>
      <w:color w:val="808080"/>
    </w:rPr>
  </w:style>
  <w:style w:type="character" w:styleId="Tytuksiki">
    <w:name w:val="Book Title"/>
    <w:basedOn w:val="Domylnaczcionkaakapitu"/>
    <w:uiPriority w:val="33"/>
    <w:qFormat/>
    <w:rsid w:val="00D56A64"/>
    <w:rPr>
      <w:b/>
      <w:bCs/>
      <w:smallCaps/>
      <w:spacing w:val="5"/>
    </w:rPr>
  </w:style>
  <w:style w:type="paragraph" w:styleId="Akapitzlist">
    <w:name w:val="List Paragraph"/>
    <w:aliases w:val="henry cuerpo,Level 3"/>
    <w:basedOn w:val="Normalny"/>
    <w:link w:val="AkapitzlistZnak"/>
    <w:uiPriority w:val="34"/>
    <w:qFormat/>
    <w:rsid w:val="00D56A64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henry cuerpo Znak,Level 3 Znak"/>
    <w:basedOn w:val="Domylnaczcionkaakapitu"/>
    <w:link w:val="Akapitzlist"/>
    <w:uiPriority w:val="34"/>
    <w:locked/>
    <w:rsid w:val="00D56A64"/>
  </w:style>
  <w:style w:type="table" w:styleId="Tabela-Siatka">
    <w:name w:val="Table Grid"/>
    <w:basedOn w:val="Standardowy"/>
    <w:uiPriority w:val="59"/>
    <w:rsid w:val="00D56A6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60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5390ED41C3A40B540EC7E4ABF4DCF" ma:contentTypeVersion="13" ma:contentTypeDescription="Utwórz nowy dokument." ma:contentTypeScope="" ma:versionID="9c11d30a77bf9063763e22013894b628">
  <xsd:schema xmlns:xsd="http://www.w3.org/2001/XMLSchema" xmlns:xs="http://www.w3.org/2001/XMLSchema" xmlns:p="http://schemas.microsoft.com/office/2006/metadata/properties" xmlns:ns3="90e66532-e694-43a4-b8f1-2d65a613878c" xmlns:ns4="854e26dc-b87d-4f7e-9efd-437207a72e40" targetNamespace="http://schemas.microsoft.com/office/2006/metadata/properties" ma:root="true" ma:fieldsID="56473f1d9cfe720f3875e8ccdfd93d5e" ns3:_="" ns4:_="">
    <xsd:import namespace="90e66532-e694-43a4-b8f1-2d65a613878c"/>
    <xsd:import namespace="854e26dc-b87d-4f7e-9efd-437207a72e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66532-e694-43a4-b8f1-2d65a6138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e26dc-b87d-4f7e-9efd-437207a72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3CF1C-B83C-499A-8D57-AB3D8F15C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8C5A9B-0ED8-410B-BE6E-1A7BFE471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66532-e694-43a4-b8f1-2d65a613878c"/>
    <ds:schemaRef ds:uri="854e26dc-b87d-4f7e-9efd-437207a72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00779-6DE2-4661-970D-02F264B6C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7A7C9-BA2C-4F45-929A-BE741C4D589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854e26dc-b87d-4f7e-9efd-437207a72e40"/>
    <ds:schemaRef ds:uri="90e66532-e694-43a4-b8f1-2d65a6138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Korzeniewska-Wieczorek</dc:creator>
  <cp:lastModifiedBy>Anna Górecka-Chrząszcz</cp:lastModifiedBy>
  <cp:revision>2</cp:revision>
  <cp:lastPrinted>2020-09-10T09:58:00Z</cp:lastPrinted>
  <dcterms:created xsi:type="dcterms:W3CDTF">2024-12-19T13:30:00Z</dcterms:created>
  <dcterms:modified xsi:type="dcterms:W3CDTF">2024-12-19T13:30:00Z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0x010100F3C5390ED41C3A40B540EC7E4ABF4DCF</vt:lpwstr>
  </property>
</Properties>
</file>